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0C2359" w:rsidP="000C2359">
            <w:pPr>
              <w:rPr>
                <w:sz w:val="20"/>
                <w:szCs w:val="20"/>
                <w:lang w:val="en-GB"/>
              </w:rPr>
            </w:pPr>
            <w:bookmarkStart w:id="4" w:name="Text6"/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Mobiele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stroomgenerator</w:t>
            </w:r>
            <w:bookmarkEnd w:id="4"/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5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6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0C2359" w:rsidRPr="000F7FE6" w:rsidRDefault="000C2359" w:rsidP="000C235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F7FE6">
              <w:rPr>
                <w:sz w:val="20"/>
                <w:szCs w:val="20"/>
              </w:rPr>
              <w:t>Het verplaatsen van een uitgeschakelde machine moet mogelijk zijn zonder dat de gebruikers zich kunnen verbranden of knellen.</w:t>
            </w:r>
          </w:p>
          <w:p w:rsidR="000C2359" w:rsidRPr="000F7FE6" w:rsidRDefault="000C2359" w:rsidP="000C235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F7FE6">
              <w:rPr>
                <w:sz w:val="20"/>
                <w:szCs w:val="20"/>
              </w:rPr>
              <w:t>De bediening moet eenduidig zijn.</w:t>
            </w:r>
          </w:p>
          <w:p w:rsidR="000C2359" w:rsidRPr="000F7FE6" w:rsidRDefault="000C2359" w:rsidP="000C235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F7FE6">
              <w:rPr>
                <w:sz w:val="20"/>
                <w:szCs w:val="20"/>
              </w:rPr>
              <w:t xml:space="preserve">Toestellen die voorzien zijn om gehesen te worden moeten voorzien </w:t>
            </w:r>
            <w:r>
              <w:rPr>
                <w:sz w:val="20"/>
                <w:szCs w:val="20"/>
              </w:rPr>
              <w:t xml:space="preserve">zijn </w:t>
            </w:r>
            <w:r w:rsidRPr="000F7FE6">
              <w:rPr>
                <w:sz w:val="20"/>
                <w:szCs w:val="20"/>
              </w:rPr>
              <w:t>van een aanslagpunt dat:</w:t>
            </w:r>
          </w:p>
          <w:p w:rsidR="000C2359" w:rsidRPr="000F7FE6" w:rsidRDefault="000C2359" w:rsidP="000C2359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0F7FE6">
              <w:rPr>
                <w:sz w:val="20"/>
                <w:szCs w:val="20"/>
              </w:rPr>
              <w:t>geschikt is voor het te hijsen gewicht, rekening houden met eventueel bijhorende kabels en slangen</w:t>
            </w:r>
          </w:p>
          <w:p w:rsidR="000C2359" w:rsidRPr="000F7FE6" w:rsidRDefault="000C2359" w:rsidP="000C2359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0F7FE6">
              <w:rPr>
                <w:sz w:val="20"/>
                <w:szCs w:val="20"/>
              </w:rPr>
              <w:t>voorzien is van een afstekende kleur en markering die aangeeft dat dit een aanslagpunt is</w:t>
            </w:r>
          </w:p>
          <w:p w:rsidR="000C2359" w:rsidRPr="000F7FE6" w:rsidRDefault="000C2359" w:rsidP="000C235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bookmarkStart w:id="7" w:name="OLE_LINK1"/>
            <w:r>
              <w:rPr>
                <w:sz w:val="20"/>
                <w:szCs w:val="20"/>
              </w:rPr>
              <w:t>Het</w:t>
            </w:r>
            <w:r w:rsidRPr="000F7FE6">
              <w:rPr>
                <w:sz w:val="20"/>
                <w:szCs w:val="20"/>
              </w:rPr>
              <w:t xml:space="preserve"> eigengewicht word</w:t>
            </w:r>
            <w:r>
              <w:rPr>
                <w:sz w:val="20"/>
                <w:szCs w:val="20"/>
              </w:rPr>
              <w:t>t</w:t>
            </w:r>
            <w:r w:rsidRPr="000F7FE6">
              <w:rPr>
                <w:sz w:val="20"/>
                <w:szCs w:val="20"/>
              </w:rPr>
              <w:t xml:space="preserve"> duidelijk en onuitwisbaar op het toestel aangeduid</w:t>
            </w:r>
            <w:bookmarkEnd w:id="7"/>
            <w:r w:rsidRPr="000F7FE6">
              <w:rPr>
                <w:sz w:val="20"/>
                <w:szCs w:val="20"/>
              </w:rPr>
              <w:t>.</w:t>
            </w:r>
          </w:p>
          <w:p w:rsidR="000C2359" w:rsidRPr="000F7FE6" w:rsidRDefault="000C2359" w:rsidP="000C235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F7FE6">
              <w:rPr>
                <w:sz w:val="20"/>
                <w:szCs w:val="20"/>
              </w:rPr>
              <w:t>Elk bedieningsorgaan (knop, schakelaar, hendel,…) is voorzien van een markering (Nederlandstalige tekst en/of pictogram) die zijn functie weergeeft.</w:t>
            </w:r>
          </w:p>
          <w:p w:rsidR="000C2359" w:rsidRPr="000F7FE6" w:rsidRDefault="000C2359" w:rsidP="000C235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F7FE6">
              <w:rPr>
                <w:sz w:val="20"/>
                <w:szCs w:val="20"/>
              </w:rPr>
              <w:t xml:space="preserve">Bij elke noodstopbediening, indien aanwezig, moet de markering “NOODSTOP” aanwezig zijn. </w:t>
            </w:r>
          </w:p>
          <w:p w:rsidR="000C2359" w:rsidRPr="000F7FE6" w:rsidRDefault="000C2359" w:rsidP="000C235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F7FE6">
              <w:rPr>
                <w:sz w:val="20"/>
                <w:szCs w:val="20"/>
              </w:rPr>
              <w:t>Alle bedieningspunten moeten veilig bereikbaar zijn. Hierbij wordt in het bijzonder rekening gehouden met bedieningspun</w:t>
            </w:r>
            <w:r>
              <w:rPr>
                <w:sz w:val="20"/>
                <w:szCs w:val="20"/>
              </w:rPr>
              <w:t xml:space="preserve">ten die tijdens bedrijf of vooraleer de </w:t>
            </w:r>
            <w:r w:rsidRPr="000F7FE6">
              <w:rPr>
                <w:sz w:val="20"/>
                <w:szCs w:val="20"/>
              </w:rPr>
              <w:t>machine afgekoeld is bereikbaar moeten zijn.</w:t>
            </w:r>
          </w:p>
          <w:p w:rsidR="000C2359" w:rsidRPr="000F7FE6" w:rsidRDefault="000C2359" w:rsidP="000C235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F7FE6">
              <w:rPr>
                <w:sz w:val="20"/>
                <w:szCs w:val="20"/>
              </w:rPr>
              <w:t>Uitlaatgassen mogen de gebruikers niet hinderen.</w:t>
            </w:r>
          </w:p>
          <w:p w:rsidR="000C2359" w:rsidRPr="000F7FE6" w:rsidRDefault="000C2359" w:rsidP="000C235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F7FE6">
              <w:rPr>
                <w:sz w:val="20"/>
                <w:szCs w:val="20"/>
              </w:rPr>
              <w:t>Ter hoogte va</w:t>
            </w:r>
            <w:bookmarkStart w:id="8" w:name="_GoBack"/>
            <w:bookmarkEnd w:id="8"/>
            <w:r w:rsidRPr="000F7FE6">
              <w:rPr>
                <w:sz w:val="20"/>
                <w:szCs w:val="20"/>
              </w:rPr>
              <w:t>n de vulopening van de brandstof moet duidelijk vermeld worden welke brandstof en eventuele additieven (met vermelding van verhouding) moeten gebruikt worden.</w:t>
            </w:r>
          </w:p>
          <w:p w:rsidR="000C2359" w:rsidRPr="000F7FE6" w:rsidRDefault="000C2359" w:rsidP="000C235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F7FE6">
              <w:rPr>
                <w:sz w:val="20"/>
                <w:szCs w:val="20"/>
              </w:rPr>
              <w:t>Indien de brandstof niet tijdens bedrijf mag bijgevuld worden moet dit duidelijk vermeld worden ter hoogte van de vulopening van de brandstof.</w:t>
            </w:r>
          </w:p>
          <w:p w:rsidR="000C2359" w:rsidRPr="000F7FE6" w:rsidRDefault="000C2359" w:rsidP="000C235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F7FE6">
              <w:rPr>
                <w:sz w:val="20"/>
                <w:szCs w:val="20"/>
              </w:rPr>
              <w:t>Alle elektrische aansluitingen moeten afgeschermd zijn tegen bevuiling, corrosie, water en andere vormen van beschadiging.</w:t>
            </w:r>
          </w:p>
          <w:p w:rsidR="005E3661" w:rsidRPr="003F5E6F" w:rsidRDefault="000C2359" w:rsidP="000C235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C2359">
              <w:rPr>
                <w:sz w:val="20"/>
                <w:szCs w:val="20"/>
              </w:rPr>
              <w:t>De machine is conform ISO 2631 betreffende lichaamstrillingen en ISO 5349 betreffende hand-armtrillingen.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0C2359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05/08/2016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09002F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09002F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MPSOZg6NfCX0A+2e0SLSVWNW3Kpi7cao5nr/WDmn0Wc/rx1VjmbVcumxvsP/j8w2vYkviQD5dL3307GRgcvwA==" w:salt="wCjX+HVTWSpfC713b8ehSA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9002F"/>
    <w:rsid w:val="000B6EE0"/>
    <w:rsid w:val="000C2359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9A5DA8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9A5DA8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9A5DA8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3</cp:revision>
  <cp:lastPrinted>2018-03-13T09:31:00Z</cp:lastPrinted>
  <dcterms:created xsi:type="dcterms:W3CDTF">2018-08-21T07:01:00Z</dcterms:created>
  <dcterms:modified xsi:type="dcterms:W3CDTF">2018-08-21T07:01:00Z</dcterms:modified>
</cp:coreProperties>
</file>