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CF63B0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antivalharnas</w:t>
            </w:r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bestelde onderhevig is aan Europese economische richtlijnen (Machines, laagspanning, </w:t>
            </w:r>
            <w:proofErr w:type="spellStart"/>
            <w:r w:rsidRPr="003F5E6F">
              <w:rPr>
                <w:sz w:val="20"/>
                <w:szCs w:val="20"/>
              </w:rPr>
              <w:t>EMC,e.d</w:t>
            </w:r>
            <w:proofErr w:type="spellEnd"/>
            <w:r w:rsidRPr="003F5E6F">
              <w:rPr>
                <w:sz w:val="20"/>
                <w:szCs w:val="20"/>
              </w:rPr>
              <w:t>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CF63B0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CF63B0" w:rsidRDefault="00CF63B0" w:rsidP="00CF63B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Voldoet aan de Europese norm EN361: “Persoonlijke beschermingsmiddelen tegen vallen – harnasgordels”.</w:t>
            </w:r>
          </w:p>
          <w:p w:rsidR="00CF63B0" w:rsidRDefault="00CF63B0" w:rsidP="00CF63B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bedrijfsnummer wordt duidelijk en onuitwisbaar op het harnas aangeduid.</w:t>
            </w:r>
          </w:p>
          <w:p w:rsidR="00CF63B0" w:rsidRDefault="00CF63B0" w:rsidP="00CF63B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Informatie die belangrijk is voor het gebruik moet aangegeven zijn op het harnas.</w:t>
            </w:r>
          </w:p>
          <w:p w:rsidR="005E3661" w:rsidRPr="003F5E6F" w:rsidRDefault="00CF63B0" w:rsidP="00CF63B0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harnas moet voorzien zijn van een voetlus, waarin een slachtoffer na een eventuele val steun kan vinden om de goede bloedcirculatie te bestendigen.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CF63B0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21/12/2015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CF63B0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CF63B0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Ry9k0L+yF9bf5d+BPOK2xm5AnlBI/c19p/UbNvPc3zhxF5ER9Ot9uY4x4d7WCHUS/zscGKAEyX5ep3EWvRNdw==" w:salt="7K29dpublesUtIzlOD4QzQ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CF63B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412C18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412C18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412C18"/>
    <w:rsid w:val="00437228"/>
    <w:rsid w:val="004D7F3F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2</cp:revision>
  <cp:lastPrinted>2018-03-13T09:31:00Z</cp:lastPrinted>
  <dcterms:created xsi:type="dcterms:W3CDTF">2018-08-21T12:36:00Z</dcterms:created>
  <dcterms:modified xsi:type="dcterms:W3CDTF">2018-08-21T12:36:00Z</dcterms:modified>
</cp:coreProperties>
</file>