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F21F80" w:rsidP="00F21F80">
            <w:pPr>
              <w:rPr>
                <w:sz w:val="20"/>
                <w:szCs w:val="20"/>
                <w:lang w:val="en-GB"/>
              </w:rPr>
            </w:pPr>
            <w:r>
              <w:rPr>
                <w:b/>
                <w:i/>
                <w:sz w:val="20"/>
                <w:szCs w:val="20"/>
                <w:lang w:val="en-GB"/>
              </w:rPr>
              <w:t xml:space="preserve">Hijsbrug, </w:t>
            </w:r>
            <w:r>
              <w:rPr>
                <w:b/>
                <w:i/>
                <w:sz w:val="20"/>
                <w:szCs w:val="20"/>
                <w:lang w:val="en-GB"/>
              </w:rPr>
              <w:t>hijsbalk</w:t>
            </w:r>
            <w:r>
              <w:rPr>
                <w:b/>
                <w:i/>
                <w:sz w:val="20"/>
                <w:szCs w:val="20"/>
                <w:lang w:val="en-GB"/>
              </w:rPr>
              <w:t>, hijskader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815"/>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F21F80" w:rsidRDefault="00F21F80" w:rsidP="00F21F80">
            <w:pPr>
              <w:numPr>
                <w:ilvl w:val="0"/>
                <w:numId w:val="1"/>
              </w:numPr>
              <w:tabs>
                <w:tab w:val="clear" w:pos="720"/>
              </w:tabs>
              <w:ind w:left="426"/>
              <w:rPr>
                <w:sz w:val="20"/>
                <w:szCs w:val="20"/>
              </w:rPr>
            </w:pPr>
            <w:r>
              <w:rPr>
                <w:sz w:val="20"/>
                <w:szCs w:val="20"/>
              </w:rPr>
              <w:t>De hijsbalk</w:t>
            </w:r>
            <w:r w:rsidRPr="00206C0C">
              <w:rPr>
                <w:sz w:val="20"/>
                <w:szCs w:val="20"/>
              </w:rPr>
              <w:t xml:space="preserve"> is in een duidelijk</w:t>
            </w:r>
            <w:r>
              <w:rPr>
                <w:sz w:val="20"/>
                <w:szCs w:val="20"/>
              </w:rPr>
              <w:t>e</w:t>
            </w:r>
            <w:r w:rsidRPr="00206C0C">
              <w:rPr>
                <w:sz w:val="20"/>
                <w:szCs w:val="20"/>
              </w:rPr>
              <w:t xml:space="preserve"> kleur geschilderd die afsteek</w:t>
            </w:r>
            <w:r>
              <w:rPr>
                <w:sz w:val="20"/>
                <w:szCs w:val="20"/>
              </w:rPr>
              <w:t>t</w:t>
            </w:r>
            <w:r w:rsidRPr="00206C0C">
              <w:rPr>
                <w:sz w:val="20"/>
                <w:szCs w:val="20"/>
              </w:rPr>
              <w:t xml:space="preserve"> t.o.v. de omgeving. Bij voorkeur in cadmiumgeel (RAL 1021). </w:t>
            </w:r>
          </w:p>
          <w:p w:rsidR="00F21F80" w:rsidRDefault="00F21F80" w:rsidP="00F21F80">
            <w:pPr>
              <w:numPr>
                <w:ilvl w:val="0"/>
                <w:numId w:val="1"/>
              </w:numPr>
              <w:tabs>
                <w:tab w:val="clear" w:pos="720"/>
              </w:tabs>
              <w:ind w:left="426"/>
              <w:rPr>
                <w:sz w:val="20"/>
                <w:szCs w:val="20"/>
              </w:rPr>
            </w:pPr>
            <w:r>
              <w:rPr>
                <w:sz w:val="20"/>
                <w:szCs w:val="20"/>
              </w:rPr>
              <w:t>Het bovenaanslagpunt van de hijsbalk</w:t>
            </w:r>
            <w:r w:rsidRPr="00206C0C">
              <w:rPr>
                <w:sz w:val="20"/>
                <w:szCs w:val="20"/>
              </w:rPr>
              <w:t xml:space="preserve"> is gemakkelijk en veilig te bereiken en te bedienen</w:t>
            </w:r>
            <w:r>
              <w:rPr>
                <w:sz w:val="20"/>
                <w:szCs w:val="20"/>
              </w:rPr>
              <w:t>, er dient</w:t>
            </w:r>
            <w:r w:rsidRPr="00206C0C">
              <w:rPr>
                <w:sz w:val="20"/>
                <w:szCs w:val="20"/>
              </w:rPr>
              <w:t xml:space="preserve"> rekening gehouden </w:t>
            </w:r>
            <w:r>
              <w:rPr>
                <w:sz w:val="20"/>
                <w:szCs w:val="20"/>
              </w:rPr>
              <w:t>te worden</w:t>
            </w:r>
            <w:r w:rsidRPr="00206C0C">
              <w:rPr>
                <w:sz w:val="20"/>
                <w:szCs w:val="20"/>
              </w:rPr>
              <w:t xml:space="preserve"> met het valgevaar en het st</w:t>
            </w:r>
            <w:r>
              <w:rPr>
                <w:sz w:val="20"/>
                <w:szCs w:val="20"/>
              </w:rPr>
              <w:t>ootgevaar door de kraanhaak en -</w:t>
            </w:r>
            <w:r w:rsidRPr="00206C0C">
              <w:rPr>
                <w:sz w:val="20"/>
                <w:szCs w:val="20"/>
              </w:rPr>
              <w:t>bol.</w:t>
            </w:r>
          </w:p>
          <w:p w:rsidR="00F21F80" w:rsidRPr="00206C0C" w:rsidRDefault="00F21F80" w:rsidP="00F21F80">
            <w:pPr>
              <w:numPr>
                <w:ilvl w:val="0"/>
                <w:numId w:val="1"/>
              </w:numPr>
              <w:tabs>
                <w:tab w:val="clear" w:pos="720"/>
              </w:tabs>
              <w:ind w:left="426"/>
              <w:rPr>
                <w:sz w:val="20"/>
                <w:szCs w:val="20"/>
              </w:rPr>
            </w:pPr>
            <w:r>
              <w:rPr>
                <w:sz w:val="20"/>
                <w:szCs w:val="20"/>
              </w:rPr>
              <w:t>Het bovenaanslagpunt is gemarkeerd in een van de hijsbalk afstekende kleur.</w:t>
            </w:r>
          </w:p>
          <w:p w:rsidR="00F21F80" w:rsidRPr="00860D57" w:rsidRDefault="00F21F80" w:rsidP="00F21F80">
            <w:pPr>
              <w:numPr>
                <w:ilvl w:val="0"/>
                <w:numId w:val="1"/>
              </w:numPr>
              <w:tabs>
                <w:tab w:val="clear" w:pos="720"/>
              </w:tabs>
              <w:ind w:left="426"/>
              <w:rPr>
                <w:sz w:val="20"/>
                <w:szCs w:val="20"/>
              </w:rPr>
            </w:pPr>
            <w:r w:rsidRPr="00860D57">
              <w:rPr>
                <w:sz w:val="20"/>
                <w:szCs w:val="20"/>
              </w:rPr>
              <w:t xml:space="preserve">Het </w:t>
            </w:r>
            <w:r>
              <w:rPr>
                <w:sz w:val="20"/>
                <w:szCs w:val="20"/>
              </w:rPr>
              <w:t>totale maximale belasting</w:t>
            </w:r>
            <w:r w:rsidRPr="00860D57">
              <w:rPr>
                <w:sz w:val="20"/>
                <w:szCs w:val="20"/>
              </w:rPr>
              <w:t xml:space="preserve"> en eigengewicht worden duidelijk en onuitwisbaar op </w:t>
            </w:r>
            <w:r>
              <w:rPr>
                <w:sz w:val="20"/>
                <w:szCs w:val="20"/>
              </w:rPr>
              <w:t>de hijsbalk</w:t>
            </w:r>
            <w:r w:rsidRPr="00860D57">
              <w:rPr>
                <w:sz w:val="20"/>
                <w:szCs w:val="20"/>
              </w:rPr>
              <w:t xml:space="preserve"> aangeduid.</w:t>
            </w:r>
          </w:p>
          <w:p w:rsidR="00F21F80" w:rsidRPr="00860D57" w:rsidRDefault="00F21F80" w:rsidP="00F21F80">
            <w:pPr>
              <w:numPr>
                <w:ilvl w:val="0"/>
                <w:numId w:val="1"/>
              </w:numPr>
              <w:tabs>
                <w:tab w:val="clear" w:pos="720"/>
              </w:tabs>
              <w:ind w:left="426"/>
              <w:rPr>
                <w:sz w:val="20"/>
                <w:szCs w:val="20"/>
              </w:rPr>
            </w:pPr>
            <w:r w:rsidRPr="00860D57">
              <w:rPr>
                <w:sz w:val="20"/>
                <w:szCs w:val="20"/>
              </w:rPr>
              <w:t>De positie van</w:t>
            </w:r>
            <w:r>
              <w:rPr>
                <w:sz w:val="20"/>
                <w:szCs w:val="20"/>
              </w:rPr>
              <w:t xml:space="preserve"> het zwaartepunt van de hijsbalk</w:t>
            </w:r>
            <w:r w:rsidRPr="00860D57">
              <w:rPr>
                <w:sz w:val="20"/>
                <w:szCs w:val="20"/>
              </w:rPr>
              <w:t xml:space="preserve"> is </w:t>
            </w:r>
            <w:r>
              <w:rPr>
                <w:sz w:val="20"/>
                <w:szCs w:val="20"/>
              </w:rPr>
              <w:t>aangeduid</w:t>
            </w:r>
            <w:r w:rsidRPr="00860D57">
              <w:rPr>
                <w:sz w:val="20"/>
                <w:szCs w:val="20"/>
              </w:rPr>
              <w:t>.</w:t>
            </w:r>
          </w:p>
          <w:p w:rsidR="00F21F80" w:rsidRPr="00860D57" w:rsidRDefault="00F21F80" w:rsidP="00F21F80">
            <w:pPr>
              <w:numPr>
                <w:ilvl w:val="0"/>
                <w:numId w:val="1"/>
              </w:numPr>
              <w:tabs>
                <w:tab w:val="clear" w:pos="720"/>
              </w:tabs>
              <w:ind w:left="426"/>
              <w:rPr>
                <w:sz w:val="20"/>
                <w:szCs w:val="20"/>
              </w:rPr>
            </w:pPr>
            <w:r w:rsidRPr="00860D57">
              <w:rPr>
                <w:sz w:val="20"/>
                <w:szCs w:val="20"/>
              </w:rPr>
              <w:t xml:space="preserve">De aan </w:t>
            </w:r>
            <w:r>
              <w:rPr>
                <w:sz w:val="20"/>
                <w:szCs w:val="20"/>
              </w:rPr>
              <w:t>de hijsbalk</w:t>
            </w:r>
            <w:r w:rsidRPr="00860D57">
              <w:rPr>
                <w:sz w:val="20"/>
                <w:szCs w:val="20"/>
              </w:rPr>
              <w:t xml:space="preserve"> voorziene aanslagpunten worden gemarkeerd in </w:t>
            </w:r>
            <w:r>
              <w:rPr>
                <w:sz w:val="20"/>
                <w:szCs w:val="20"/>
              </w:rPr>
              <w:t xml:space="preserve">een </w:t>
            </w:r>
            <w:r w:rsidRPr="00860D57">
              <w:rPr>
                <w:sz w:val="20"/>
                <w:szCs w:val="20"/>
              </w:rPr>
              <w:t>afstekende kleur en worden voorzien van een aanduiding van hun maximale belasting.</w:t>
            </w:r>
          </w:p>
          <w:p w:rsidR="00F21F80" w:rsidRPr="00860D57" w:rsidRDefault="00F21F80" w:rsidP="00F21F80">
            <w:pPr>
              <w:numPr>
                <w:ilvl w:val="0"/>
                <w:numId w:val="1"/>
              </w:numPr>
              <w:tabs>
                <w:tab w:val="clear" w:pos="720"/>
              </w:tabs>
              <w:ind w:left="426"/>
              <w:rPr>
                <w:sz w:val="20"/>
                <w:szCs w:val="20"/>
              </w:rPr>
            </w:pPr>
            <w:r w:rsidRPr="00860D57">
              <w:rPr>
                <w:sz w:val="20"/>
                <w:szCs w:val="20"/>
              </w:rPr>
              <w:t>Aanslagpunten moeten op een degelijke en veilige wijze te bereiken en te gebruiken zijn.</w:t>
            </w:r>
          </w:p>
          <w:p w:rsidR="00F21F80" w:rsidRPr="00860D57" w:rsidRDefault="00F21F80" w:rsidP="00F21F80">
            <w:pPr>
              <w:numPr>
                <w:ilvl w:val="0"/>
                <w:numId w:val="1"/>
              </w:numPr>
              <w:tabs>
                <w:tab w:val="clear" w:pos="720"/>
              </w:tabs>
              <w:ind w:left="426"/>
              <w:rPr>
                <w:sz w:val="20"/>
                <w:szCs w:val="20"/>
              </w:rPr>
            </w:pPr>
            <w:r w:rsidRPr="00860D57">
              <w:rPr>
                <w:sz w:val="20"/>
                <w:szCs w:val="20"/>
              </w:rPr>
              <w:t>Er wordt een markering aangebracht om aan te geven dat er geen personen mee overgedraaid mogen worden.</w:t>
            </w:r>
          </w:p>
          <w:p w:rsidR="00F21F80" w:rsidRDefault="00F21F80" w:rsidP="00F21F80">
            <w:pPr>
              <w:numPr>
                <w:ilvl w:val="0"/>
                <w:numId w:val="1"/>
              </w:numPr>
              <w:tabs>
                <w:tab w:val="clear" w:pos="720"/>
              </w:tabs>
              <w:ind w:left="426"/>
              <w:rPr>
                <w:sz w:val="20"/>
                <w:szCs w:val="20"/>
              </w:rPr>
            </w:pPr>
            <w:r w:rsidRPr="00860D57">
              <w:rPr>
                <w:sz w:val="20"/>
                <w:szCs w:val="20"/>
              </w:rPr>
              <w:t xml:space="preserve">Indien </w:t>
            </w:r>
            <w:r>
              <w:rPr>
                <w:sz w:val="20"/>
                <w:szCs w:val="20"/>
              </w:rPr>
              <w:t>de hijsbalk</w:t>
            </w:r>
            <w:r w:rsidRPr="00860D57">
              <w:rPr>
                <w:sz w:val="20"/>
                <w:szCs w:val="20"/>
              </w:rPr>
              <w:t xml:space="preserve"> verplaatst wordt met een heftruck, moeten er pockets voorzien worden, die gemarkeerd zijn in een afstekende kleur.</w:t>
            </w:r>
          </w:p>
          <w:p w:rsidR="00F21F80" w:rsidRDefault="00F21F80" w:rsidP="00F21F80">
            <w:pPr>
              <w:numPr>
                <w:ilvl w:val="0"/>
                <w:numId w:val="1"/>
              </w:numPr>
              <w:tabs>
                <w:tab w:val="clear" w:pos="720"/>
              </w:tabs>
              <w:ind w:left="426"/>
              <w:rPr>
                <w:sz w:val="20"/>
                <w:szCs w:val="20"/>
              </w:rPr>
            </w:pPr>
            <w:r>
              <w:rPr>
                <w:sz w:val="20"/>
                <w:szCs w:val="20"/>
              </w:rPr>
              <w:t>De hijsbalk wordt voorzien van steunpunten, zodat hij niet omvalt bij neerzetten. Indien dit niet mogelijk is, wordt een constructie voorzien die deze functie verzekert. Deze constructie wordt voorzien van pockets in een afstekende kleur, om het juk te kunnen verplaatsen.</w:t>
            </w:r>
          </w:p>
          <w:p w:rsidR="00F21F80" w:rsidRDefault="00F21F80" w:rsidP="00F21F80">
            <w:pPr>
              <w:numPr>
                <w:ilvl w:val="0"/>
                <w:numId w:val="1"/>
              </w:numPr>
              <w:tabs>
                <w:tab w:val="clear" w:pos="720"/>
              </w:tabs>
              <w:ind w:left="426"/>
              <w:rPr>
                <w:sz w:val="20"/>
                <w:szCs w:val="20"/>
              </w:rPr>
            </w:pPr>
            <w:r>
              <w:rPr>
                <w:sz w:val="20"/>
                <w:szCs w:val="20"/>
              </w:rPr>
              <w:t>De lengte van de hijsbalk en de afstand tussen de aanslagpunten wordt op de hijsbalk aangeduid.</w:t>
            </w:r>
          </w:p>
          <w:p w:rsidR="00F21F80" w:rsidRDefault="00F21F80" w:rsidP="00F21F80">
            <w:pPr>
              <w:ind w:left="66"/>
              <w:rPr>
                <w:sz w:val="20"/>
                <w:szCs w:val="20"/>
              </w:rPr>
            </w:pPr>
          </w:p>
          <w:p w:rsidR="00F21F80" w:rsidRDefault="00F21F80" w:rsidP="00F21F80">
            <w:pPr>
              <w:ind w:left="66"/>
              <w:rPr>
                <w:sz w:val="20"/>
                <w:szCs w:val="20"/>
              </w:rPr>
            </w:pPr>
          </w:p>
          <w:p w:rsidR="00F21F80" w:rsidRDefault="00F21F80" w:rsidP="00F21F80">
            <w:pPr>
              <w:ind w:left="66"/>
              <w:rPr>
                <w:sz w:val="20"/>
                <w:szCs w:val="20"/>
              </w:rPr>
            </w:pPr>
          </w:p>
          <w:p w:rsidR="00F21F80" w:rsidRDefault="00F21F80" w:rsidP="00F21F80">
            <w:pPr>
              <w:ind w:left="66"/>
              <w:rPr>
                <w:sz w:val="20"/>
                <w:szCs w:val="20"/>
              </w:rPr>
            </w:pPr>
          </w:p>
          <w:p w:rsidR="00F21F80" w:rsidRPr="00F21F80" w:rsidRDefault="00F21F80" w:rsidP="00F21F80">
            <w:pPr>
              <w:ind w:left="66"/>
              <w:rPr>
                <w:sz w:val="20"/>
                <w:szCs w:val="20"/>
              </w:rPr>
            </w:pPr>
          </w:p>
          <w:p w:rsidR="00F21F80" w:rsidRPr="008D5F8D" w:rsidRDefault="00F21F80" w:rsidP="00F21F80">
            <w:pPr>
              <w:pStyle w:val="ListParagraph"/>
              <w:jc w:val="both"/>
              <w:rPr>
                <w:rFonts w:ascii="Arial" w:eastAsia="Times New Roman" w:hAnsi="Arial" w:cs="Arial"/>
                <w:sz w:val="20"/>
                <w:szCs w:val="20"/>
                <w:u w:val="single"/>
              </w:rPr>
            </w:pPr>
            <w:r w:rsidRPr="008D5F8D">
              <w:rPr>
                <w:rFonts w:ascii="Arial" w:hAnsi="Arial" w:cs="Arial"/>
                <w:sz w:val="20"/>
                <w:szCs w:val="20"/>
                <w:u w:val="single"/>
              </w:rPr>
              <w:lastRenderedPageBreak/>
              <w:t>Principe-schets: Vorm en uitzicht zijn i</w:t>
            </w:r>
            <w:r>
              <w:rPr>
                <w:rFonts w:ascii="Arial" w:hAnsi="Arial" w:cs="Arial"/>
                <w:sz w:val="20"/>
                <w:szCs w:val="20"/>
                <w:u w:val="single"/>
              </w:rPr>
              <w:t>n</w:t>
            </w:r>
            <w:r w:rsidRPr="008D5F8D">
              <w:rPr>
                <w:rFonts w:ascii="Arial" w:hAnsi="Arial" w:cs="Arial"/>
                <w:sz w:val="20"/>
                <w:szCs w:val="20"/>
                <w:u w:val="single"/>
              </w:rPr>
              <w:t>dicatief</w:t>
            </w:r>
          </w:p>
          <w:p w:rsidR="005E3661" w:rsidRPr="003F5E6F" w:rsidRDefault="00F21F80" w:rsidP="00F21F80">
            <w:pPr>
              <w:ind w:left="459"/>
              <w:rPr>
                <w:sz w:val="20"/>
                <w:szCs w:val="20"/>
              </w:rPr>
            </w:pPr>
            <w:r w:rsidRPr="00881CB0">
              <w:rPr>
                <w:i/>
                <w:noProof/>
                <w:sz w:val="20"/>
                <w:szCs w:val="20"/>
                <w:lang w:eastAsia="nl-BE"/>
              </w:rPr>
              <w:drawing>
                <wp:inline distT="0" distB="0" distL="0" distR="0">
                  <wp:extent cx="643890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1990725"/>
                          </a:xfrm>
                          <a:prstGeom prst="rect">
                            <a:avLst/>
                          </a:prstGeom>
                          <a:noFill/>
                          <a:ln>
                            <a:noFill/>
                          </a:ln>
                        </pic:spPr>
                      </pic:pic>
                    </a:graphicData>
                  </a:graphic>
                </wp:inline>
              </w:drawing>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8"/>
      <w:footerReference w:type="default" r:id="rId9"/>
      <w:foot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F21F80" w:rsidP="000106D8">
          <w:pPr>
            <w:jc w:val="center"/>
            <w:rPr>
              <w:sz w:val="16"/>
              <w:szCs w:val="16"/>
              <w:lang w:val="nl-NL"/>
            </w:rPr>
          </w:pPr>
          <w:r>
            <w:rPr>
              <w:sz w:val="16"/>
              <w:szCs w:val="16"/>
            </w:rPr>
            <w:t>05/08/2016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F21F80">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F21F80">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Oc6qzmyuC4pT5uVG1JX6Vjh4Oi6+T7pDvzfcaYJaUaT7SY1yQqa8L8/9TtKxj3/ePqfrjowyw1FaHfcL+4iQ==" w:salt="gnmbSQBntB21NVJQeIw62g=="/>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21F80"/>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7971D6"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7971D6"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7971D6"/>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2018-08-21T11:02:00Z</dcterms:created>
  <dcterms:modified xsi:type="dcterms:W3CDTF">2018-08-21T11:02:00Z</dcterms:modified>
</cp:coreProperties>
</file>