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4B488C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laadbrug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4B488C" w:rsidRDefault="004B488C" w:rsidP="004B488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 bedieningsorgaan (knop, schakelaar, hendel, …) is voorzien van een markering (Nederlandstalige tekst en/of pictogram) die zijn functie weergeeft.</w:t>
            </w:r>
          </w:p>
          <w:p w:rsidR="004B488C" w:rsidRDefault="004B488C" w:rsidP="004B488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4E338E">
              <w:rPr>
                <w:sz w:val="20"/>
                <w:szCs w:val="20"/>
              </w:rPr>
              <w:t>Informatie die belangrijk is voor het gebruik moet aangegeven zijn op het toeste</w:t>
            </w:r>
            <w:r>
              <w:rPr>
                <w:sz w:val="20"/>
                <w:szCs w:val="20"/>
              </w:rPr>
              <w:t>l.</w:t>
            </w:r>
          </w:p>
          <w:p w:rsidR="004B488C" w:rsidRDefault="004B488C" w:rsidP="004B488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maximaal vermogen worden duidelijk en onuitwisbaar op het toestel aangeduid.</w:t>
            </w:r>
          </w:p>
          <w:p w:rsidR="004B488C" w:rsidRDefault="004B488C" w:rsidP="004B488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kanten van de laadbrug zijn in een afstekende kleur gemarkeerd.</w:t>
            </w:r>
          </w:p>
          <w:p w:rsidR="005E3661" w:rsidRPr="003F5E6F" w:rsidRDefault="004B488C" w:rsidP="004B488C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moet een voorziening zijn tegen wegrollen of wegschuiven van de laadbrug.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4B488C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08/08/2016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4B488C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4B488C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uB1yL9whvrzbr24BaCH24NfwxYa7d3Dh1BinH7XJcuUctJEJKhNqbt5gWIaLuX2c1A+mEps8MXaJROBHxDMA==" w:salt="RL0wmT1Eyzi+osPpihpBlA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B488C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7B1F3D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7B1F3D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7B1F3D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2018-08-21T12:01:00Z</dcterms:created>
  <dcterms:modified xsi:type="dcterms:W3CDTF">2018-08-21T12:01:00Z</dcterms:modified>
</cp:coreProperties>
</file>