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891B13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Reach Truck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EB7BF3">
              <w:rPr>
                <w:sz w:val="20"/>
                <w:szCs w:val="20"/>
              </w:rPr>
              <w:t xml:space="preserve">. Cabine 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891B13">
              <w:rPr>
                <w:sz w:val="20"/>
                <w:szCs w:val="20"/>
              </w:rPr>
              <w:t>De dakbedekking moet weerstaan tegen een val van de in het magazijn opgeslagen goederen (FOPS)</w:t>
            </w:r>
            <w:r w:rsidRPr="00EB7BF3">
              <w:rPr>
                <w:sz w:val="20"/>
                <w:szCs w:val="20"/>
              </w:rPr>
              <w:t>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Elke zitplaats is uitgerust met een veiligheidsgordel die de persoon bij botsingen of kantelen in de stoel houdt.</w:t>
            </w:r>
          </w:p>
          <w:p w:rsidR="00464A12" w:rsidRPr="00891B1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891B13">
              <w:rPr>
                <w:sz w:val="20"/>
                <w:szCs w:val="20"/>
              </w:rPr>
              <w:t>Er moeten maatregelen genomen worden die voorkomen dat de bestuurder met zijn hand in de mast kan reiken.</w:t>
            </w:r>
          </w:p>
          <w:p w:rsidR="00464A12" w:rsidRPr="00EB7BF3" w:rsidRDefault="00464A12" w:rsidP="00464A12">
            <w:pPr>
              <w:ind w:left="426"/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 w:rsidR="00701E64">
              <w:rPr>
                <w:sz w:val="20"/>
                <w:szCs w:val="20"/>
              </w:rPr>
              <w:t>2</w:t>
            </w:r>
            <w:r w:rsidRPr="00EB7BF3">
              <w:rPr>
                <w:sz w:val="20"/>
                <w:szCs w:val="20"/>
              </w:rPr>
              <w:t>. Bereikbaarheid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De cabine moet gemakkelijk en veilig te bereiken zijn. De nodige handgrepen en leuningen zijn voorzien.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Loopvlakken en treden moeten voorzien zijn van voldoende en adequate antislip, treden hebben een rooster of een noppenroosterstructuur. Ook de randen van de treden zijn met antislip uitgevoerd.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Alle smeer-, controle- en onderhoudspunten zijn gemakkelijk en veilig te bereiken.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 xml:space="preserve">Op deuren, deksels en luiken worden voorzieningen aangebracht, zodat het knellen van vingers bij het sluiten ervan voorkomen wordt. Handvatten e.d. worden zo gepositioneerd dat zij intuïtief gebruikt worden. </w:t>
            </w:r>
          </w:p>
          <w:p w:rsidR="00464A12" w:rsidRDefault="00464A12" w:rsidP="0068721A">
            <w:pPr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 w:rsidR="00701E64">
              <w:rPr>
                <w:sz w:val="20"/>
                <w:szCs w:val="20"/>
              </w:rPr>
              <w:t>3</w:t>
            </w:r>
            <w:r w:rsidRPr="00EB7BF3">
              <w:rPr>
                <w:sz w:val="20"/>
                <w:szCs w:val="20"/>
              </w:rPr>
              <w:t>. Zicht chauffeur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Wanneer het directe gezichtsveld van de bestuurder onvoldoende is, moet het toestel uitgerust zijn met adequate hulpmiddelen om de veiligheid van de personen in de omgeving te waarborgen.</w:t>
            </w:r>
          </w:p>
          <w:p w:rsidR="00464A12" w:rsidRPr="00EB7BF3" w:rsidRDefault="00464A12" w:rsidP="00464A12">
            <w:pPr>
              <w:ind w:left="426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 xml:space="preserve">Het toestel is minimaal uitgerust met een achteruitkijkspiegel (paraboolspiegel). 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 xml:space="preserve">Verdere maatregelen om dode hoeken te beperken, zoals camerabewaking of </w:t>
            </w:r>
            <w:proofErr w:type="spellStart"/>
            <w:r w:rsidRPr="00EB7BF3">
              <w:rPr>
                <w:sz w:val="20"/>
                <w:szCs w:val="20"/>
              </w:rPr>
              <w:t>persoondetectiesystemen</w:t>
            </w:r>
            <w:proofErr w:type="spellEnd"/>
            <w:r w:rsidRPr="00EB7BF3">
              <w:rPr>
                <w:sz w:val="20"/>
                <w:szCs w:val="20"/>
              </w:rPr>
              <w:t xml:space="preserve"> zullen genomen worden als dit noodzakelijk blijkt uit de risicoanalyse van de verkeersplanning.</w:t>
            </w:r>
          </w:p>
          <w:p w:rsidR="00464A12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Er moet voldoende LED-werkverlichting voorzien zijn</w:t>
            </w:r>
          </w:p>
          <w:p w:rsidR="00464A12" w:rsidRDefault="00464A12" w:rsidP="00464A12">
            <w:pPr>
              <w:ind w:left="426"/>
              <w:rPr>
                <w:sz w:val="20"/>
                <w:szCs w:val="20"/>
              </w:rPr>
            </w:pPr>
          </w:p>
          <w:p w:rsidR="00585DBF" w:rsidRDefault="00585DBF" w:rsidP="00464A12">
            <w:pPr>
              <w:ind w:left="426"/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lastRenderedPageBreak/>
              <w:t>2.</w:t>
            </w:r>
            <w:r w:rsidR="00701E64">
              <w:rPr>
                <w:sz w:val="20"/>
                <w:szCs w:val="20"/>
              </w:rPr>
              <w:t>4</w:t>
            </w:r>
            <w:r w:rsidRPr="00EB7BF3">
              <w:rPr>
                <w:sz w:val="20"/>
                <w:szCs w:val="20"/>
              </w:rPr>
              <w:t>. Opmerkbaarheid voertuig</w:t>
            </w:r>
          </w:p>
          <w:p w:rsidR="00464A12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 xml:space="preserve">Het toestel is minimaal uitgerust met een wit achteruitrijlicht en een blue-spot </w:t>
            </w:r>
            <w:r>
              <w:rPr>
                <w:sz w:val="20"/>
                <w:szCs w:val="20"/>
              </w:rPr>
              <w:t>in beide rijrichtingen.</w:t>
            </w:r>
          </w:p>
          <w:p w:rsidR="00464A12" w:rsidRPr="00EB7BF3" w:rsidRDefault="00464A12" w:rsidP="00464A12">
            <w:pPr>
              <w:ind w:left="426"/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 w:rsidR="00585DBF">
              <w:rPr>
                <w:sz w:val="20"/>
                <w:szCs w:val="20"/>
              </w:rPr>
              <w:t>5</w:t>
            </w:r>
            <w:r w:rsidRPr="00EB7BF3">
              <w:rPr>
                <w:sz w:val="20"/>
                <w:szCs w:val="20"/>
              </w:rPr>
              <w:t>. Bediening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Onvrijwillige bediening van de rij- en hijs-/heffuncties moet uitgesloten worden, door een zetelcontact en/of een tweehandsbediening.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Een claxon moet voorzien zijn.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Elk bedieningsorgaan (knop, schakelaar, hendel,…) is voorzien van een markering (Nederlandstalige tekst en/of pictogram) die zijn functie weergeeft.</w:t>
            </w:r>
          </w:p>
          <w:p w:rsidR="00464A12" w:rsidRDefault="00464A12" w:rsidP="00464A12">
            <w:pPr>
              <w:ind w:left="426"/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 w:rsidR="00585DBF">
              <w:rPr>
                <w:sz w:val="20"/>
                <w:szCs w:val="20"/>
              </w:rPr>
              <w:t>6</w:t>
            </w:r>
            <w:r w:rsidRPr="00EB7BF3">
              <w:rPr>
                <w:sz w:val="20"/>
                <w:szCs w:val="20"/>
              </w:rPr>
              <w:t>. Aanduidingen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Het hefvermogen en eigengewicht worden duidelijk en onuitwisbaar op het toestel aangeduid.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Ter hoogte van de vulopening van de brandstof moet duidelijk vermeld worden welke brandstof en eventuele additieven (met vermelding van verhouding) moeten gebruikt worden.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Informatie die belangrijk is voor het gebruik moet aangegeven zijn op het toestel, op een voor de gebruiker zichtbare plaats.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Een pictogram voor de verplichting tot gordeldracht moet aangebracht worden in de cabine.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Een pictogram voor het verbod op meerijden is aangebracht, tenzij het toestel hiervoor voorzien is (zie 2.2.).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Een pictogram voor het verbod om onder de last te komen, is aangebracht.</w:t>
            </w:r>
          </w:p>
          <w:p w:rsidR="00464A12" w:rsidRPr="00891B13" w:rsidRDefault="00464A12" w:rsidP="00464A12">
            <w:pPr>
              <w:ind w:left="426"/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 w:rsidR="00585DBF">
              <w:rPr>
                <w:sz w:val="20"/>
                <w:szCs w:val="20"/>
              </w:rPr>
              <w:t>7</w:t>
            </w:r>
            <w:r w:rsidRPr="00EB7BF3">
              <w:rPr>
                <w:sz w:val="20"/>
                <w:szCs w:val="20"/>
              </w:rPr>
              <w:t>. Ergonomie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De machine is conform ISO 2631 betreffende lichaamstrillingen en ISO 5349 betreffende hand-armtrillingen.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 xml:space="preserve">De hoogte tussen de onderzijde van het </w:t>
            </w:r>
            <w:proofErr w:type="spellStart"/>
            <w:r w:rsidRPr="00EB7BF3">
              <w:rPr>
                <w:sz w:val="20"/>
                <w:szCs w:val="20"/>
              </w:rPr>
              <w:t>beschermdak</w:t>
            </w:r>
            <w:proofErr w:type="spellEnd"/>
            <w:r w:rsidRPr="00EB7BF3">
              <w:rPr>
                <w:sz w:val="20"/>
                <w:szCs w:val="20"/>
              </w:rPr>
              <w:t xml:space="preserve"> en het zitreferentiepunt van de zetel, moet minimaal 100cm zijn, een afstand van 104cm wordt aangewezen.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Het toestel moet met een op gewicht instelbare zetel, met een ergonomische zitting, uitgerust worden.</w:t>
            </w:r>
          </w:p>
          <w:p w:rsidR="00464A12" w:rsidRPr="00EB7BF3" w:rsidRDefault="00464A12" w:rsidP="00464A12">
            <w:pPr>
              <w:ind w:left="426"/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 w:rsidR="00585DBF">
              <w:rPr>
                <w:sz w:val="20"/>
                <w:szCs w:val="20"/>
              </w:rPr>
              <w:t>8</w:t>
            </w:r>
            <w:r w:rsidRPr="00EB7BF3">
              <w:rPr>
                <w:sz w:val="20"/>
                <w:szCs w:val="20"/>
              </w:rPr>
              <w:t>. Gezondheid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Uitlaatgassen mogen noch de bestuurder, noch de in de onmiddellijke nabijheid werkende arbeiders hinderen.</w:t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Er moeten maatregelen getroffen worden, zodat het dagelijks equivalent geluidsniveau (</w:t>
            </w:r>
            <w:proofErr w:type="spellStart"/>
            <w:r w:rsidRPr="00EB7BF3">
              <w:rPr>
                <w:sz w:val="20"/>
                <w:szCs w:val="20"/>
              </w:rPr>
              <w:t>L</w:t>
            </w:r>
            <w:r w:rsidRPr="00EB7BF3">
              <w:rPr>
                <w:sz w:val="20"/>
                <w:szCs w:val="20"/>
                <w:vertAlign w:val="subscript"/>
              </w:rPr>
              <w:t>eq</w:t>
            </w:r>
            <w:proofErr w:type="spellEnd"/>
            <w:r w:rsidRPr="00EB7BF3">
              <w:rPr>
                <w:sz w:val="20"/>
                <w:szCs w:val="20"/>
              </w:rPr>
              <w:t>) in de werkomgeving en in de cabine lager is dan 80 dB(A).</w:t>
            </w:r>
          </w:p>
          <w:p w:rsidR="00464A12" w:rsidRDefault="00464A12" w:rsidP="00464A12">
            <w:pPr>
              <w:ind w:left="426"/>
              <w:rPr>
                <w:sz w:val="20"/>
                <w:szCs w:val="20"/>
              </w:rPr>
            </w:pPr>
          </w:p>
          <w:p w:rsidR="00464A12" w:rsidRPr="00EB7BF3" w:rsidRDefault="00464A12" w:rsidP="00464A12">
            <w:p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2.</w:t>
            </w:r>
            <w:r w:rsidR="00585DBF">
              <w:rPr>
                <w:sz w:val="20"/>
                <w:szCs w:val="20"/>
              </w:rPr>
              <w:t>9</w:t>
            </w:r>
            <w:r w:rsidRPr="00EB7BF3">
              <w:rPr>
                <w:sz w:val="20"/>
                <w:szCs w:val="20"/>
              </w:rPr>
              <w:t>. E</w:t>
            </w:r>
            <w:r>
              <w:rPr>
                <w:sz w:val="20"/>
                <w:szCs w:val="20"/>
              </w:rPr>
              <w:t>nergiebron</w:t>
            </w:r>
          </w:p>
          <w:p w:rsidR="00CF04EE" w:rsidRPr="007E5CA7" w:rsidRDefault="00CF04EE" w:rsidP="00CF04EE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7E5CA7">
              <w:rPr>
                <w:sz w:val="20"/>
                <w:szCs w:val="20"/>
              </w:rPr>
              <w:t>Dieseltoestellen moeten voldoen aan de laatste emissienorm: bouwmachines euro 5.</w:t>
            </w:r>
          </w:p>
          <w:p w:rsidR="00CF04EE" w:rsidRPr="007E5CA7" w:rsidRDefault="00CF04EE" w:rsidP="00CF04EE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7E5CA7">
              <w:rPr>
                <w:sz w:val="20"/>
                <w:szCs w:val="20"/>
              </w:rPr>
              <w:t>Niet-dieseltoestellen worden voorzien van een pictogram dat hun energiebron duidelijk maakt:</w:t>
            </w:r>
          </w:p>
          <w:p w:rsidR="00CF04EE" w:rsidRDefault="00CF04EE" w:rsidP="00CF04EE">
            <w:pPr>
              <w:ind w:left="426"/>
              <w:rPr>
                <w:sz w:val="20"/>
                <w:szCs w:val="20"/>
              </w:rPr>
            </w:pPr>
            <w:r w:rsidRPr="007E5CA7">
              <w:rPr>
                <w:noProof/>
              </w:rPr>
              <w:drawing>
                <wp:inline distT="0" distB="0" distL="0" distR="0" wp14:anchorId="586C01CD" wp14:editId="428DEE7D">
                  <wp:extent cx="3457575" cy="1333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4A12" w:rsidRPr="00EB7BF3" w:rsidRDefault="00464A12" w:rsidP="00464A12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Voor elektrische toestellen gelden volgende bijkomende ver</w:t>
            </w:r>
            <w:r>
              <w:rPr>
                <w:sz w:val="20"/>
                <w:szCs w:val="20"/>
              </w:rPr>
              <w:t>ei</w:t>
            </w:r>
            <w:r w:rsidRPr="00EB7BF3">
              <w:rPr>
                <w:sz w:val="20"/>
                <w:szCs w:val="20"/>
              </w:rPr>
              <w:t>sten:</w:t>
            </w:r>
          </w:p>
          <w:p w:rsidR="00464A12" w:rsidRPr="00EB7BF3" w:rsidRDefault="00464A12" w:rsidP="00464A1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Er moet een geschikt oplaadtoestel voorzien te zijn.</w:t>
            </w:r>
          </w:p>
          <w:p w:rsidR="00464A12" w:rsidRPr="00EB7BF3" w:rsidRDefault="00464A12" w:rsidP="00464A1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Alle delen die onder spanning staan of waardoor een elektrische stroom kan vloeien (incl. de polen van de batterij) zijn niet genaakbaar door de gebruiker.</w:t>
            </w:r>
          </w:p>
          <w:p w:rsidR="00464A12" w:rsidRPr="00EB7BF3" w:rsidRDefault="00464A12" w:rsidP="00464A12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het (ont-)koppelen van de batterij kan eenvoudig en veilig gebeuren:</w:t>
            </w:r>
          </w:p>
          <w:p w:rsidR="00464A12" w:rsidRPr="00CF62A0" w:rsidRDefault="00464A12" w:rsidP="00464A12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er zijn voorzieningen getroffen die een vlamboog</w:t>
            </w:r>
            <w:r w:rsidRPr="00CF62A0">
              <w:rPr>
                <w:sz w:val="20"/>
                <w:szCs w:val="20"/>
              </w:rPr>
              <w:t xml:space="preserve"> voorkomen (vb. detectie dat stekker voldoende diep is ingestoken) en in voorkomend geval zodanig beperken dat de gebruiker hiervan geen schade kan ondervinden.</w:t>
            </w:r>
          </w:p>
          <w:p w:rsidR="00464A12" w:rsidRPr="00CF62A0" w:rsidRDefault="00464A12" w:rsidP="00464A12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CF62A0">
              <w:rPr>
                <w:sz w:val="20"/>
                <w:szCs w:val="20"/>
              </w:rPr>
              <w:t>Een koppelingssysteem waarbij de positieve en negatieve kabel afzonderlijk moete ge-, of ontkoppeld worden is niet toegelaten.</w:t>
            </w:r>
          </w:p>
          <w:p w:rsidR="00464A12" w:rsidRPr="00CF62A0" w:rsidRDefault="00464A12" w:rsidP="00464A12">
            <w:pPr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CF62A0">
              <w:rPr>
                <w:sz w:val="20"/>
                <w:szCs w:val="20"/>
              </w:rPr>
              <w:t>Het toestel mag niet kunnen werken als de koppeling onvoldoende tot stand is gebracht.</w:t>
            </w:r>
          </w:p>
          <w:p w:rsidR="00464A12" w:rsidRPr="00585DBF" w:rsidRDefault="00464A12" w:rsidP="00585DBF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CF62A0">
              <w:rPr>
                <w:sz w:val="20"/>
                <w:szCs w:val="20"/>
              </w:rPr>
              <w:t>Alle nodige hulpmiddelen voor het wisselen, plaatsen of verwijderen van de batterij zijn meegeleverd.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  <w:r w:rsidRPr="003F5E6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DFF0165" wp14:editId="2AE53EB5">
                  <wp:extent cx="1581150" cy="828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ndtekening Joos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226" cy="84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5E6F" w:rsidRPr="003F5E6F" w:rsidRDefault="003F5E6F" w:rsidP="00404594">
            <w:pPr>
              <w:ind w:right="45"/>
              <w:rPr>
                <w:b/>
                <w:sz w:val="20"/>
                <w:szCs w:val="20"/>
              </w:rPr>
            </w:pPr>
            <w:r w:rsidRPr="003F5E6F">
              <w:rPr>
                <w:b/>
                <w:sz w:val="20"/>
                <w:szCs w:val="20"/>
              </w:rPr>
              <w:t>Joost Vermeiren</w:t>
            </w:r>
          </w:p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9"/>
      <w:footerReference w:type="defaul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DB6B85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08/03/2022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91B13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891B13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YQReMi++yDRaqMTEPA6Q8ji+psYG4RFA64kXScc0FFdfPrCLEn3UBHWViK8pHyvpGS2Nk03kNQoDXpCfjkHrQ==" w:salt="5Qvk+uemMiYr36J1MjS1GA==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64A12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85DBF"/>
    <w:rsid w:val="005A0676"/>
    <w:rsid w:val="005B583C"/>
    <w:rsid w:val="005E3661"/>
    <w:rsid w:val="005F2E3E"/>
    <w:rsid w:val="00610494"/>
    <w:rsid w:val="006612D0"/>
    <w:rsid w:val="0068721A"/>
    <w:rsid w:val="00695E30"/>
    <w:rsid w:val="006C2479"/>
    <w:rsid w:val="006C32E5"/>
    <w:rsid w:val="006D1199"/>
    <w:rsid w:val="006F6E60"/>
    <w:rsid w:val="00700A1A"/>
    <w:rsid w:val="00701E64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7E5CA7"/>
    <w:rsid w:val="00823C17"/>
    <w:rsid w:val="0082747E"/>
    <w:rsid w:val="008578A6"/>
    <w:rsid w:val="00860CA4"/>
    <w:rsid w:val="008762AA"/>
    <w:rsid w:val="00877CE5"/>
    <w:rsid w:val="00891B13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CF04EE"/>
    <w:rsid w:val="00D16E3C"/>
    <w:rsid w:val="00D176FE"/>
    <w:rsid w:val="00DA0D23"/>
    <w:rsid w:val="00DA7BCB"/>
    <w:rsid w:val="00DB6B85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F3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1097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5</cp:revision>
  <cp:lastPrinted>2018-03-13T09:31:00Z</cp:lastPrinted>
  <dcterms:created xsi:type="dcterms:W3CDTF">2022-03-09T13:27:00Z</dcterms:created>
  <dcterms:modified xsi:type="dcterms:W3CDTF">2022-07-06T07:01:00Z</dcterms:modified>
</cp:coreProperties>
</file>