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D94640" w:rsidP="000E017F">
            <w:pPr>
              <w:rPr>
                <w:sz w:val="20"/>
                <w:szCs w:val="20"/>
                <w:lang w:val="en-GB"/>
              </w:rPr>
            </w:pPr>
            <w:r>
              <w:rPr>
                <w:b/>
                <w:i/>
                <w:sz w:val="20"/>
                <w:szCs w:val="20"/>
                <w:lang w:val="en-GB"/>
              </w:rPr>
              <w:t>spreader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D94640" w:rsidRDefault="00D94640" w:rsidP="00D94640">
            <w:pPr>
              <w:numPr>
                <w:ilvl w:val="0"/>
                <w:numId w:val="1"/>
              </w:numPr>
              <w:tabs>
                <w:tab w:val="clear" w:pos="720"/>
              </w:tabs>
              <w:ind w:left="426"/>
              <w:rPr>
                <w:sz w:val="20"/>
                <w:szCs w:val="20"/>
              </w:rPr>
            </w:pPr>
            <w:r>
              <w:rPr>
                <w:sz w:val="20"/>
                <w:szCs w:val="20"/>
              </w:rPr>
              <w:t>De spreader moet volledig compatibel zijn met de opgegeven kranen</w:t>
            </w:r>
          </w:p>
          <w:p w:rsidR="00D94640" w:rsidRPr="00FC59A2" w:rsidRDefault="00D94640" w:rsidP="00D94640">
            <w:pPr>
              <w:numPr>
                <w:ilvl w:val="0"/>
                <w:numId w:val="1"/>
              </w:numPr>
              <w:tabs>
                <w:tab w:val="clear" w:pos="720"/>
              </w:tabs>
              <w:ind w:left="426"/>
              <w:rPr>
                <w:sz w:val="20"/>
                <w:szCs w:val="20"/>
              </w:rPr>
            </w:pPr>
            <w:r w:rsidRPr="00206C0C">
              <w:rPr>
                <w:sz w:val="20"/>
                <w:szCs w:val="20"/>
              </w:rPr>
              <w:t xml:space="preserve">Het aanslagpunt van de spreader is gemakkelijk en veilig te bereiken en te bedienen waar rekening gehouden </w:t>
            </w:r>
            <w:r w:rsidRPr="00FC59A2">
              <w:rPr>
                <w:sz w:val="20"/>
                <w:szCs w:val="20"/>
              </w:rPr>
              <w:t>wordt met het valgevaar en het stootgevaar door de kraanhaak en -bol.</w:t>
            </w:r>
          </w:p>
          <w:p w:rsidR="00D94640" w:rsidRPr="00FC59A2" w:rsidRDefault="00D94640" w:rsidP="00D94640">
            <w:pPr>
              <w:numPr>
                <w:ilvl w:val="0"/>
                <w:numId w:val="1"/>
              </w:numPr>
              <w:tabs>
                <w:tab w:val="clear" w:pos="720"/>
              </w:tabs>
              <w:ind w:left="426"/>
              <w:rPr>
                <w:sz w:val="20"/>
                <w:szCs w:val="20"/>
              </w:rPr>
            </w:pPr>
            <w:r w:rsidRPr="00FC59A2">
              <w:rPr>
                <w:sz w:val="20"/>
                <w:szCs w:val="20"/>
              </w:rPr>
              <w:t xml:space="preserve">Het </w:t>
            </w:r>
            <w:r w:rsidRPr="00346240">
              <w:rPr>
                <w:sz w:val="20"/>
                <w:szCs w:val="20"/>
              </w:rPr>
              <w:t>aanslagpunt en de borgpen(nen) zijn</w:t>
            </w:r>
            <w:r w:rsidRPr="00FC59A2">
              <w:rPr>
                <w:sz w:val="20"/>
                <w:szCs w:val="20"/>
              </w:rPr>
              <w:t xml:space="preserve"> aangeduid in een van de spreader afstekende kleur</w:t>
            </w:r>
          </w:p>
          <w:p w:rsidR="00D94640" w:rsidRPr="00FC59A2" w:rsidRDefault="00D94640" w:rsidP="00D94640">
            <w:pPr>
              <w:numPr>
                <w:ilvl w:val="0"/>
                <w:numId w:val="1"/>
              </w:numPr>
              <w:tabs>
                <w:tab w:val="clear" w:pos="720"/>
              </w:tabs>
              <w:ind w:left="426"/>
              <w:rPr>
                <w:sz w:val="20"/>
                <w:szCs w:val="20"/>
              </w:rPr>
            </w:pPr>
            <w:r w:rsidRPr="00FC59A2">
              <w:rPr>
                <w:sz w:val="20"/>
                <w:szCs w:val="20"/>
              </w:rPr>
              <w:t xml:space="preserve">De spreader is in een duidelijke kleur geschilderd die afsteekt t.o.v. de omgeving. Bij voorkeur in cadmiumgeel (RAL 1021). </w:t>
            </w:r>
          </w:p>
          <w:p w:rsidR="00D94640" w:rsidRPr="00FC59A2" w:rsidRDefault="00D94640" w:rsidP="00D94640">
            <w:pPr>
              <w:numPr>
                <w:ilvl w:val="0"/>
                <w:numId w:val="1"/>
              </w:numPr>
              <w:tabs>
                <w:tab w:val="clear" w:pos="720"/>
              </w:tabs>
              <w:ind w:left="426"/>
              <w:rPr>
                <w:sz w:val="20"/>
                <w:szCs w:val="20"/>
              </w:rPr>
            </w:pPr>
            <w:r w:rsidRPr="00FC59A2">
              <w:rPr>
                <w:sz w:val="20"/>
                <w:szCs w:val="20"/>
              </w:rPr>
              <w:t>Bedrijfsnummer, hefvermogen en eigengewicht worden op een duidelijke en onuitwisbare manier op het toestel aangeduid.</w:t>
            </w:r>
          </w:p>
          <w:p w:rsidR="00D94640" w:rsidRPr="00FC59A2" w:rsidRDefault="00D94640" w:rsidP="00D94640">
            <w:pPr>
              <w:numPr>
                <w:ilvl w:val="0"/>
                <w:numId w:val="1"/>
              </w:numPr>
              <w:tabs>
                <w:tab w:val="clear" w:pos="720"/>
              </w:tabs>
              <w:ind w:left="426"/>
              <w:rPr>
                <w:sz w:val="20"/>
                <w:szCs w:val="20"/>
              </w:rPr>
            </w:pPr>
            <w:r w:rsidRPr="00FC59A2">
              <w:rPr>
                <w:sz w:val="20"/>
                <w:szCs w:val="20"/>
              </w:rPr>
              <w:t>De positie van het zwaartepunt van de spreader is terug te vinden in de handleiding.</w:t>
            </w:r>
          </w:p>
          <w:p w:rsidR="00D94640" w:rsidRPr="00FC59A2" w:rsidRDefault="00D94640" w:rsidP="00D94640">
            <w:pPr>
              <w:numPr>
                <w:ilvl w:val="0"/>
                <w:numId w:val="1"/>
              </w:numPr>
              <w:tabs>
                <w:tab w:val="clear" w:pos="720"/>
              </w:tabs>
              <w:ind w:left="426"/>
              <w:rPr>
                <w:sz w:val="20"/>
                <w:szCs w:val="20"/>
              </w:rPr>
            </w:pPr>
            <w:r>
              <w:rPr>
                <w:sz w:val="20"/>
                <w:szCs w:val="20"/>
              </w:rPr>
              <w:t>Als de spreader gebruikt wordt om containers te behandelen, moet d</w:t>
            </w:r>
            <w:r w:rsidRPr="00FC59A2">
              <w:rPr>
                <w:sz w:val="20"/>
                <w:szCs w:val="20"/>
              </w:rPr>
              <w:t>e status (o.a. ont- of vergrendeld) eenvoudig en duidelijk door de bedienaar op te volgen</w:t>
            </w:r>
            <w:r>
              <w:rPr>
                <w:sz w:val="20"/>
                <w:szCs w:val="20"/>
              </w:rPr>
              <w:t xml:space="preserve"> zijn</w:t>
            </w:r>
            <w:r w:rsidRPr="00FC59A2">
              <w:rPr>
                <w:sz w:val="20"/>
                <w:szCs w:val="20"/>
              </w:rPr>
              <w:t>.</w:t>
            </w:r>
          </w:p>
          <w:p w:rsidR="00D94640" w:rsidRPr="00FC59A2" w:rsidRDefault="00D94640" w:rsidP="00D94640">
            <w:pPr>
              <w:numPr>
                <w:ilvl w:val="1"/>
                <w:numId w:val="1"/>
              </w:numPr>
              <w:rPr>
                <w:sz w:val="20"/>
                <w:szCs w:val="20"/>
              </w:rPr>
            </w:pPr>
            <w:r w:rsidRPr="00FC59A2">
              <w:rPr>
                <w:sz w:val="20"/>
                <w:szCs w:val="20"/>
              </w:rPr>
              <w:t>De betekenis van de kleurcode is toegelicht zodat deze duidelijk is voor de bedienaar</w:t>
            </w:r>
          </w:p>
          <w:tbl>
            <w:tblPr>
              <w:tblW w:w="0" w:type="auto"/>
              <w:tblInd w:w="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tblGrid>
            <w:tr w:rsidR="00D94640" w:rsidRPr="00FC59A2" w:rsidTr="0003594C">
              <w:tc>
                <w:tcPr>
                  <w:tcW w:w="2410" w:type="dxa"/>
                  <w:shd w:val="clear" w:color="auto" w:fill="auto"/>
                </w:tcPr>
                <w:p w:rsidR="00D94640" w:rsidRPr="00FC59A2" w:rsidRDefault="00D94640" w:rsidP="00D94640">
                  <w:pPr>
                    <w:jc w:val="center"/>
                    <w:rPr>
                      <w:sz w:val="20"/>
                      <w:szCs w:val="20"/>
                    </w:rPr>
                  </w:pPr>
                  <w:r w:rsidRPr="00FC59A2">
                    <w:rPr>
                      <w:sz w:val="20"/>
                      <w:szCs w:val="20"/>
                    </w:rPr>
                    <w:t>Actie</w:t>
                  </w:r>
                </w:p>
              </w:tc>
              <w:tc>
                <w:tcPr>
                  <w:tcW w:w="992" w:type="dxa"/>
                  <w:shd w:val="clear" w:color="auto" w:fill="auto"/>
                </w:tcPr>
                <w:p w:rsidR="00D94640" w:rsidRPr="00FC59A2" w:rsidRDefault="00D94640" w:rsidP="00D94640">
                  <w:pPr>
                    <w:jc w:val="center"/>
                    <w:rPr>
                      <w:sz w:val="20"/>
                      <w:szCs w:val="20"/>
                    </w:rPr>
                  </w:pPr>
                  <w:r w:rsidRPr="00FC59A2">
                    <w:rPr>
                      <w:sz w:val="20"/>
                      <w:szCs w:val="20"/>
                    </w:rPr>
                    <w:t>Kleur</w:t>
                  </w:r>
                </w:p>
              </w:tc>
            </w:tr>
            <w:tr w:rsidR="00D94640" w:rsidRPr="00FC59A2" w:rsidTr="0003594C">
              <w:tc>
                <w:tcPr>
                  <w:tcW w:w="2410" w:type="dxa"/>
                  <w:shd w:val="clear" w:color="auto" w:fill="auto"/>
                </w:tcPr>
                <w:p w:rsidR="00D94640" w:rsidRPr="00FC59A2" w:rsidRDefault="00D94640" w:rsidP="00D94640">
                  <w:pPr>
                    <w:rPr>
                      <w:sz w:val="20"/>
                      <w:szCs w:val="20"/>
                    </w:rPr>
                  </w:pPr>
                  <w:r w:rsidRPr="00FC59A2">
                    <w:rPr>
                      <w:sz w:val="20"/>
                      <w:szCs w:val="20"/>
                    </w:rPr>
                    <w:t>Induwen tastpennen</w:t>
                  </w:r>
                </w:p>
              </w:tc>
              <w:tc>
                <w:tcPr>
                  <w:tcW w:w="992" w:type="dxa"/>
                  <w:shd w:val="clear" w:color="auto" w:fill="auto"/>
                </w:tcPr>
                <w:p w:rsidR="00D94640" w:rsidRPr="00FC59A2" w:rsidRDefault="00D94640" w:rsidP="00D94640">
                  <w:pPr>
                    <w:rPr>
                      <w:sz w:val="20"/>
                      <w:szCs w:val="20"/>
                    </w:rPr>
                  </w:pPr>
                  <w:r w:rsidRPr="00FC59A2">
                    <w:rPr>
                      <w:sz w:val="20"/>
                      <w:szCs w:val="20"/>
                    </w:rPr>
                    <w:t>WIT</w:t>
                  </w:r>
                </w:p>
              </w:tc>
            </w:tr>
            <w:tr w:rsidR="00D94640" w:rsidRPr="00FC59A2" w:rsidTr="0003594C">
              <w:tc>
                <w:tcPr>
                  <w:tcW w:w="2410" w:type="dxa"/>
                  <w:shd w:val="clear" w:color="auto" w:fill="auto"/>
                </w:tcPr>
                <w:p w:rsidR="00D94640" w:rsidRPr="00FC59A2" w:rsidRDefault="00D94640" w:rsidP="00D94640">
                  <w:pPr>
                    <w:rPr>
                      <w:sz w:val="20"/>
                      <w:szCs w:val="20"/>
                    </w:rPr>
                  </w:pPr>
                  <w:r w:rsidRPr="00FC59A2">
                    <w:rPr>
                      <w:sz w:val="20"/>
                      <w:szCs w:val="20"/>
                    </w:rPr>
                    <w:t>Vergrendelde hamers</w:t>
                  </w:r>
                </w:p>
              </w:tc>
              <w:tc>
                <w:tcPr>
                  <w:tcW w:w="992" w:type="dxa"/>
                  <w:shd w:val="clear" w:color="auto" w:fill="auto"/>
                </w:tcPr>
                <w:p w:rsidR="00D94640" w:rsidRPr="00FC59A2" w:rsidRDefault="00D94640" w:rsidP="00D94640">
                  <w:pPr>
                    <w:rPr>
                      <w:sz w:val="20"/>
                      <w:szCs w:val="20"/>
                    </w:rPr>
                  </w:pPr>
                  <w:r w:rsidRPr="00FC59A2">
                    <w:rPr>
                      <w:sz w:val="20"/>
                      <w:szCs w:val="20"/>
                    </w:rPr>
                    <w:t>GROEN</w:t>
                  </w:r>
                </w:p>
              </w:tc>
            </w:tr>
            <w:tr w:rsidR="00D94640" w:rsidRPr="00FC59A2" w:rsidTr="0003594C">
              <w:tc>
                <w:tcPr>
                  <w:tcW w:w="2410" w:type="dxa"/>
                  <w:shd w:val="clear" w:color="auto" w:fill="auto"/>
                </w:tcPr>
                <w:p w:rsidR="00D94640" w:rsidRPr="00FC59A2" w:rsidRDefault="00D94640" w:rsidP="00D94640">
                  <w:pPr>
                    <w:rPr>
                      <w:sz w:val="20"/>
                      <w:szCs w:val="20"/>
                    </w:rPr>
                  </w:pPr>
                  <w:r w:rsidRPr="00FC59A2">
                    <w:rPr>
                      <w:sz w:val="20"/>
                      <w:szCs w:val="20"/>
                    </w:rPr>
                    <w:t>Ontgrendelde hamers</w:t>
                  </w:r>
                </w:p>
              </w:tc>
              <w:tc>
                <w:tcPr>
                  <w:tcW w:w="992" w:type="dxa"/>
                  <w:shd w:val="clear" w:color="auto" w:fill="auto"/>
                </w:tcPr>
                <w:p w:rsidR="00D94640" w:rsidRPr="00FC59A2" w:rsidRDefault="00D94640" w:rsidP="00D94640">
                  <w:pPr>
                    <w:rPr>
                      <w:sz w:val="20"/>
                      <w:szCs w:val="20"/>
                    </w:rPr>
                  </w:pPr>
                  <w:r w:rsidRPr="00FC59A2">
                    <w:rPr>
                      <w:sz w:val="20"/>
                      <w:szCs w:val="20"/>
                    </w:rPr>
                    <w:t>ROOD</w:t>
                  </w:r>
                </w:p>
              </w:tc>
            </w:tr>
            <w:tr w:rsidR="00D94640" w:rsidRPr="00FC59A2" w:rsidTr="0003594C">
              <w:tc>
                <w:tcPr>
                  <w:tcW w:w="2410" w:type="dxa"/>
                  <w:shd w:val="clear" w:color="auto" w:fill="auto"/>
                </w:tcPr>
                <w:p w:rsidR="00D94640" w:rsidRPr="00FC59A2" w:rsidRDefault="00D94640" w:rsidP="00D94640">
                  <w:pPr>
                    <w:rPr>
                      <w:sz w:val="20"/>
                      <w:szCs w:val="20"/>
                    </w:rPr>
                  </w:pPr>
                  <w:r w:rsidRPr="00FC59A2">
                    <w:rPr>
                      <w:sz w:val="20"/>
                      <w:szCs w:val="20"/>
                    </w:rPr>
                    <w:t>spreader in bedrijf</w:t>
                  </w:r>
                </w:p>
              </w:tc>
              <w:tc>
                <w:tcPr>
                  <w:tcW w:w="992" w:type="dxa"/>
                  <w:shd w:val="clear" w:color="auto" w:fill="auto"/>
                </w:tcPr>
                <w:p w:rsidR="00D94640" w:rsidRPr="00FC59A2" w:rsidRDefault="00D94640" w:rsidP="00D94640">
                  <w:pPr>
                    <w:rPr>
                      <w:sz w:val="20"/>
                      <w:szCs w:val="20"/>
                    </w:rPr>
                  </w:pPr>
                  <w:r w:rsidRPr="00FC59A2">
                    <w:rPr>
                      <w:sz w:val="20"/>
                      <w:szCs w:val="20"/>
                    </w:rPr>
                    <w:t>GEEL</w:t>
                  </w:r>
                </w:p>
              </w:tc>
            </w:tr>
            <w:tr w:rsidR="00D94640" w:rsidRPr="00FC59A2" w:rsidTr="0003594C">
              <w:tc>
                <w:tcPr>
                  <w:tcW w:w="2410" w:type="dxa"/>
                  <w:shd w:val="clear" w:color="auto" w:fill="auto"/>
                </w:tcPr>
                <w:p w:rsidR="00D94640" w:rsidRPr="00FC59A2" w:rsidRDefault="00D94640" w:rsidP="00D94640">
                  <w:pPr>
                    <w:rPr>
                      <w:sz w:val="20"/>
                      <w:szCs w:val="20"/>
                    </w:rPr>
                  </w:pPr>
                  <w:r w:rsidRPr="00FC59A2">
                    <w:rPr>
                      <w:sz w:val="20"/>
                      <w:szCs w:val="20"/>
                    </w:rPr>
                    <w:t>spreader in twin-bedrijf</w:t>
                  </w:r>
                </w:p>
              </w:tc>
              <w:tc>
                <w:tcPr>
                  <w:tcW w:w="992" w:type="dxa"/>
                  <w:shd w:val="clear" w:color="auto" w:fill="auto"/>
                </w:tcPr>
                <w:p w:rsidR="00D94640" w:rsidRPr="00FC59A2" w:rsidRDefault="00D94640" w:rsidP="00D94640">
                  <w:pPr>
                    <w:rPr>
                      <w:sz w:val="20"/>
                      <w:szCs w:val="20"/>
                    </w:rPr>
                  </w:pPr>
                  <w:r w:rsidRPr="00FC59A2">
                    <w:rPr>
                      <w:sz w:val="20"/>
                      <w:szCs w:val="20"/>
                    </w:rPr>
                    <w:t>BLAUW</w:t>
                  </w:r>
                </w:p>
              </w:tc>
            </w:tr>
          </w:tbl>
          <w:p w:rsidR="00D94640" w:rsidRPr="00FC59A2" w:rsidRDefault="00D94640" w:rsidP="00D94640">
            <w:pPr>
              <w:numPr>
                <w:ilvl w:val="1"/>
                <w:numId w:val="1"/>
              </w:numPr>
              <w:rPr>
                <w:sz w:val="20"/>
                <w:szCs w:val="20"/>
              </w:rPr>
            </w:pPr>
            <w:r w:rsidRPr="00FC59A2">
              <w:rPr>
                <w:sz w:val="20"/>
                <w:szCs w:val="20"/>
              </w:rPr>
              <w:t xml:space="preserve">De controlelampen op de spreader moeten dezelfde kleuren en acties hebben als de lampen op de bedieningsconsole. </w:t>
            </w:r>
          </w:p>
          <w:p w:rsidR="00D94640" w:rsidRPr="00FC59A2" w:rsidRDefault="00D94640" w:rsidP="00D94640">
            <w:pPr>
              <w:numPr>
                <w:ilvl w:val="1"/>
                <w:numId w:val="1"/>
              </w:numPr>
              <w:rPr>
                <w:sz w:val="20"/>
                <w:szCs w:val="20"/>
              </w:rPr>
            </w:pPr>
            <w:r w:rsidRPr="00FC59A2">
              <w:rPr>
                <w:sz w:val="20"/>
                <w:szCs w:val="20"/>
              </w:rPr>
              <w:t>De lampen op de spreader moeten eenvoudig op te volgen zijn door de kraanman</w:t>
            </w:r>
            <w:r>
              <w:rPr>
                <w:sz w:val="20"/>
                <w:szCs w:val="20"/>
              </w:rPr>
              <w:t>.</w:t>
            </w:r>
          </w:p>
          <w:p w:rsidR="00D94640" w:rsidRPr="00AA5CDF" w:rsidRDefault="00D94640" w:rsidP="00D94640">
            <w:pPr>
              <w:numPr>
                <w:ilvl w:val="0"/>
                <w:numId w:val="1"/>
              </w:numPr>
              <w:tabs>
                <w:tab w:val="clear" w:pos="720"/>
              </w:tabs>
              <w:ind w:left="426"/>
              <w:rPr>
                <w:sz w:val="20"/>
                <w:szCs w:val="20"/>
              </w:rPr>
            </w:pPr>
            <w:r>
              <w:rPr>
                <w:sz w:val="20"/>
                <w:szCs w:val="20"/>
              </w:rPr>
              <w:lastRenderedPageBreak/>
              <w:t>Elk</w:t>
            </w:r>
            <w:r w:rsidRPr="00AA5CDF">
              <w:rPr>
                <w:sz w:val="20"/>
                <w:szCs w:val="20"/>
              </w:rPr>
              <w:t xml:space="preserve"> bedieningsorgaan (knop, schakelaar, hendel,…) is voorzien van een markering (</w:t>
            </w:r>
            <w:r>
              <w:rPr>
                <w:sz w:val="20"/>
                <w:szCs w:val="20"/>
              </w:rPr>
              <w:t xml:space="preserve">Nederlandse </w:t>
            </w:r>
            <w:r w:rsidRPr="00AA5CDF">
              <w:rPr>
                <w:sz w:val="20"/>
                <w:szCs w:val="20"/>
              </w:rPr>
              <w:t>tekst en/of pictogram) die zijn functie weergeeft.</w:t>
            </w:r>
          </w:p>
          <w:p w:rsidR="00D94640" w:rsidRPr="00FC59A2" w:rsidRDefault="00D94640" w:rsidP="00D94640">
            <w:pPr>
              <w:numPr>
                <w:ilvl w:val="0"/>
                <w:numId w:val="1"/>
              </w:numPr>
              <w:tabs>
                <w:tab w:val="clear" w:pos="720"/>
              </w:tabs>
              <w:ind w:left="426"/>
              <w:rPr>
                <w:sz w:val="20"/>
                <w:szCs w:val="20"/>
              </w:rPr>
            </w:pPr>
            <w:r w:rsidRPr="00AA5CDF">
              <w:rPr>
                <w:sz w:val="20"/>
                <w:szCs w:val="20"/>
              </w:rPr>
              <w:t xml:space="preserve">Bij elke noodstopbediening, indien aanwezig, moet de markering “NOODSTOP” aanwezig zijn. Indien de noodstop maar werkzaam is op een deel van de installatie moet een markering aangebracht worden die </w:t>
            </w:r>
            <w:r w:rsidRPr="00FC59A2">
              <w:rPr>
                <w:sz w:val="20"/>
                <w:szCs w:val="20"/>
              </w:rPr>
              <w:t>duidelijk en ondubbelzinnig aangeeft op welk deel de noodstopbediening betrekking heeft.</w:t>
            </w:r>
          </w:p>
          <w:p w:rsidR="00D94640" w:rsidRPr="00FC59A2" w:rsidRDefault="00D94640" w:rsidP="00D94640">
            <w:pPr>
              <w:numPr>
                <w:ilvl w:val="0"/>
                <w:numId w:val="1"/>
              </w:numPr>
              <w:tabs>
                <w:tab w:val="clear" w:pos="720"/>
              </w:tabs>
              <w:ind w:left="426"/>
              <w:rPr>
                <w:sz w:val="20"/>
                <w:szCs w:val="20"/>
              </w:rPr>
            </w:pPr>
            <w:r w:rsidRPr="00FC59A2">
              <w:rPr>
                <w:sz w:val="20"/>
                <w:szCs w:val="20"/>
              </w:rPr>
              <w:t>De uitschuifmogelijkheid van de spreader moet mechanisch vergrendeld kunnen worden.</w:t>
            </w:r>
          </w:p>
          <w:p w:rsidR="00D94640" w:rsidRPr="00FC59A2" w:rsidRDefault="00D94640" w:rsidP="00D94640">
            <w:pPr>
              <w:numPr>
                <w:ilvl w:val="0"/>
                <w:numId w:val="1"/>
              </w:numPr>
              <w:tabs>
                <w:tab w:val="clear" w:pos="720"/>
              </w:tabs>
              <w:ind w:left="426"/>
              <w:rPr>
                <w:sz w:val="20"/>
                <w:szCs w:val="20"/>
              </w:rPr>
            </w:pPr>
            <w:r w:rsidRPr="00FC59A2">
              <w:rPr>
                <w:sz w:val="20"/>
                <w:szCs w:val="20"/>
              </w:rPr>
              <w:t>Indien een kooi voor personenvervoer voorzien wordt moet deze voldoen aan volgende eisen:</w:t>
            </w:r>
          </w:p>
          <w:p w:rsidR="00D94640" w:rsidRPr="00FC59A2" w:rsidRDefault="00D94640" w:rsidP="00D94640">
            <w:pPr>
              <w:numPr>
                <w:ilvl w:val="1"/>
                <w:numId w:val="1"/>
              </w:numPr>
              <w:rPr>
                <w:sz w:val="20"/>
                <w:szCs w:val="20"/>
              </w:rPr>
            </w:pPr>
            <w:r w:rsidRPr="00FC59A2">
              <w:rPr>
                <w:sz w:val="20"/>
                <w:szCs w:val="20"/>
              </w:rPr>
              <w:t xml:space="preserve">de kooi is gemakkelijk en veilig te bereiken </w:t>
            </w:r>
          </w:p>
          <w:p w:rsidR="00D94640" w:rsidRPr="00FC59A2" w:rsidRDefault="00D94640" w:rsidP="00D94640">
            <w:pPr>
              <w:numPr>
                <w:ilvl w:val="1"/>
                <w:numId w:val="1"/>
              </w:numPr>
              <w:rPr>
                <w:sz w:val="20"/>
                <w:szCs w:val="20"/>
              </w:rPr>
            </w:pPr>
            <w:r w:rsidRPr="00FC59A2">
              <w:rPr>
                <w:sz w:val="20"/>
                <w:szCs w:val="20"/>
              </w:rPr>
              <w:t>de wanden zijn ofwel:</w:t>
            </w:r>
          </w:p>
          <w:p w:rsidR="00D94640" w:rsidRPr="00FC59A2" w:rsidRDefault="00D94640" w:rsidP="00D94640">
            <w:pPr>
              <w:numPr>
                <w:ilvl w:val="2"/>
                <w:numId w:val="1"/>
              </w:numPr>
              <w:rPr>
                <w:sz w:val="20"/>
                <w:szCs w:val="20"/>
              </w:rPr>
            </w:pPr>
            <w:r w:rsidRPr="00FC59A2">
              <w:rPr>
                <w:sz w:val="20"/>
                <w:szCs w:val="20"/>
              </w:rPr>
              <w:t>dichte wanden die voorkomen dat personen uit de bak/kooi kunnen vallen. Deze wanden mogen niet te verwijderen zijn en mogen niet doorbuigen wanneer men tegen de wand leunt.</w:t>
            </w:r>
          </w:p>
          <w:p w:rsidR="00D94640" w:rsidRPr="00FC59A2" w:rsidRDefault="00D94640" w:rsidP="00D94640">
            <w:pPr>
              <w:numPr>
                <w:ilvl w:val="2"/>
                <w:numId w:val="1"/>
              </w:numPr>
              <w:rPr>
                <w:sz w:val="20"/>
                <w:szCs w:val="20"/>
              </w:rPr>
            </w:pPr>
            <w:r w:rsidRPr="00FC59A2">
              <w:rPr>
                <w:sz w:val="20"/>
                <w:szCs w:val="20"/>
              </w:rPr>
              <w:t xml:space="preserve">Leuning op 1,1 à 1,2m, tussenleuning op 0,4 à 0,5m en een stootplint van &gt;15cm vanaf de vloer. </w:t>
            </w:r>
          </w:p>
          <w:p w:rsidR="00D94640" w:rsidRPr="00FC59A2" w:rsidRDefault="00D94640" w:rsidP="00D94640">
            <w:pPr>
              <w:numPr>
                <w:ilvl w:val="1"/>
                <w:numId w:val="1"/>
              </w:numPr>
              <w:rPr>
                <w:sz w:val="20"/>
                <w:szCs w:val="20"/>
              </w:rPr>
            </w:pPr>
            <w:r w:rsidRPr="00FC59A2">
              <w:rPr>
                <w:sz w:val="20"/>
                <w:szCs w:val="20"/>
              </w:rPr>
              <w:t>Er  moeten duidelijk gemarkeerde aanslagpunten aanwezig zijn om een valharnas aan vast te maken. Deze aanslagpunten moeten verschillend zijn van de hefhaak en voldoende stevig en gemakkelijk te bereiken. Zij mogen in de kooi voorzien worden. Ze moeten aangeduid zijn in een van de spreader afstekende kleur</w:t>
            </w:r>
          </w:p>
          <w:p w:rsidR="00D94640" w:rsidRPr="00206C0C" w:rsidRDefault="00D94640" w:rsidP="00D94640">
            <w:pPr>
              <w:numPr>
                <w:ilvl w:val="1"/>
                <w:numId w:val="1"/>
              </w:numPr>
              <w:rPr>
                <w:sz w:val="20"/>
                <w:szCs w:val="20"/>
              </w:rPr>
            </w:pPr>
            <w:r w:rsidRPr="00206C0C">
              <w:rPr>
                <w:sz w:val="20"/>
                <w:szCs w:val="20"/>
              </w:rPr>
              <w:t>De toegang moet bestaan uit een naar binnen draaiende, zelfsluitende en in gesloten stand vergrendelbaar deurtje. Dit deurtje moet in gesloten toestand dezelfde bescherming beiden als de wanden van de bak/kooi</w:t>
            </w:r>
          </w:p>
          <w:p w:rsidR="00D94640" w:rsidRDefault="00D94640" w:rsidP="00D94640">
            <w:pPr>
              <w:numPr>
                <w:ilvl w:val="1"/>
                <w:numId w:val="1"/>
              </w:numPr>
              <w:rPr>
                <w:sz w:val="20"/>
                <w:szCs w:val="20"/>
              </w:rPr>
            </w:pPr>
            <w:r w:rsidRPr="00206C0C">
              <w:rPr>
                <w:sz w:val="20"/>
                <w:szCs w:val="20"/>
              </w:rPr>
              <w:t>De vloer is zonder openingen en uit antislipmateriaal</w:t>
            </w:r>
          </w:p>
          <w:p w:rsidR="00D94640" w:rsidRPr="00206C0C" w:rsidRDefault="00D94640" w:rsidP="00D94640">
            <w:pPr>
              <w:numPr>
                <w:ilvl w:val="1"/>
                <w:numId w:val="1"/>
              </w:numPr>
              <w:rPr>
                <w:sz w:val="20"/>
                <w:szCs w:val="20"/>
              </w:rPr>
            </w:pPr>
            <w:r w:rsidRPr="00206C0C">
              <w:rPr>
                <w:sz w:val="20"/>
                <w:szCs w:val="20"/>
              </w:rPr>
              <w:t xml:space="preserve">Het maximum aantal personen wordt redelijkerwijs beperkt: </w:t>
            </w:r>
          </w:p>
          <w:p w:rsidR="00D94640" w:rsidRPr="00206C0C" w:rsidRDefault="00D94640" w:rsidP="00D94640">
            <w:pPr>
              <w:numPr>
                <w:ilvl w:val="2"/>
                <w:numId w:val="1"/>
              </w:numPr>
              <w:rPr>
                <w:sz w:val="20"/>
                <w:szCs w:val="20"/>
              </w:rPr>
            </w:pPr>
            <w:r w:rsidRPr="00206C0C">
              <w:rPr>
                <w:sz w:val="20"/>
                <w:szCs w:val="20"/>
              </w:rPr>
              <w:t xml:space="preserve">De minimum vrije ruimte per persoon is 60x60cm/pers. </w:t>
            </w:r>
          </w:p>
          <w:p w:rsidR="00D94640" w:rsidRPr="00206C0C" w:rsidRDefault="00D94640" w:rsidP="00D94640">
            <w:pPr>
              <w:numPr>
                <w:ilvl w:val="2"/>
                <w:numId w:val="1"/>
              </w:numPr>
              <w:rPr>
                <w:sz w:val="20"/>
                <w:szCs w:val="20"/>
              </w:rPr>
            </w:pPr>
            <w:r w:rsidRPr="00206C0C">
              <w:rPr>
                <w:sz w:val="20"/>
                <w:szCs w:val="20"/>
              </w:rPr>
              <w:t>Indien het om een werkbak gaat mogen er maximaal 2 personen in de bak/kooi.</w:t>
            </w:r>
          </w:p>
          <w:p w:rsidR="00D94640" w:rsidRPr="00206C0C" w:rsidRDefault="00D94640" w:rsidP="00D94640">
            <w:pPr>
              <w:numPr>
                <w:ilvl w:val="2"/>
                <w:numId w:val="1"/>
              </w:numPr>
              <w:rPr>
                <w:sz w:val="20"/>
                <w:szCs w:val="20"/>
              </w:rPr>
            </w:pPr>
            <w:r w:rsidRPr="00206C0C">
              <w:rPr>
                <w:sz w:val="20"/>
                <w:szCs w:val="20"/>
              </w:rPr>
              <w:t>Het maximum aantal personen en nuttige lading is aangegeven op de bak/kooi</w:t>
            </w:r>
          </w:p>
          <w:p w:rsidR="00D94640" w:rsidRPr="00206C0C" w:rsidRDefault="00D94640" w:rsidP="00D94640">
            <w:pPr>
              <w:numPr>
                <w:ilvl w:val="1"/>
                <w:numId w:val="1"/>
              </w:numPr>
              <w:rPr>
                <w:sz w:val="20"/>
                <w:szCs w:val="20"/>
              </w:rPr>
            </w:pPr>
            <w:r w:rsidRPr="00206C0C">
              <w:rPr>
                <w:sz w:val="20"/>
                <w:szCs w:val="20"/>
              </w:rPr>
              <w:t>Bakken en kooien die aan 1 punt zijn opgehangen (ook onrechtstreeks via spreader) moeten tevens voldoen aan volgende eisen:</w:t>
            </w:r>
          </w:p>
          <w:p w:rsidR="00D94640" w:rsidRPr="00206C0C" w:rsidRDefault="00D94640" w:rsidP="00D94640">
            <w:pPr>
              <w:numPr>
                <w:ilvl w:val="2"/>
                <w:numId w:val="1"/>
              </w:numPr>
              <w:rPr>
                <w:sz w:val="20"/>
                <w:szCs w:val="20"/>
              </w:rPr>
            </w:pPr>
            <w:r w:rsidRPr="00206C0C">
              <w:rPr>
                <w:sz w:val="20"/>
                <w:szCs w:val="20"/>
              </w:rPr>
              <w:t>Kooi is gedragen door metalen beugels die onder de bodem en langs de zijwanden doorlopen</w:t>
            </w:r>
          </w:p>
          <w:p w:rsidR="00D94640" w:rsidRDefault="00D94640" w:rsidP="00D94640">
            <w:pPr>
              <w:numPr>
                <w:ilvl w:val="2"/>
                <w:numId w:val="1"/>
              </w:numPr>
              <w:rPr>
                <w:sz w:val="20"/>
                <w:szCs w:val="20"/>
              </w:rPr>
            </w:pPr>
            <w:r w:rsidRPr="004B6D58">
              <w:rPr>
                <w:sz w:val="20"/>
                <w:szCs w:val="20"/>
              </w:rPr>
              <w:t>Het aanslagmateriaal heeft een veiligheidscoëfficiënt van 16 voor staalkabels</w:t>
            </w:r>
            <w:r>
              <w:rPr>
                <w:sz w:val="20"/>
                <w:szCs w:val="20"/>
              </w:rPr>
              <w:t xml:space="preserve"> en -kettingen</w:t>
            </w:r>
          </w:p>
          <w:p w:rsidR="00D94640" w:rsidRPr="004B6D58" w:rsidRDefault="00D94640" w:rsidP="00D94640">
            <w:pPr>
              <w:numPr>
                <w:ilvl w:val="2"/>
                <w:numId w:val="1"/>
              </w:numPr>
              <w:rPr>
                <w:sz w:val="20"/>
                <w:szCs w:val="20"/>
              </w:rPr>
            </w:pPr>
            <w:r w:rsidRPr="004B6D58">
              <w:rPr>
                <w:sz w:val="20"/>
                <w:szCs w:val="20"/>
              </w:rPr>
              <w:t>Het aanslag materiaal dient vast met de kooi verbonden te zijn</w:t>
            </w:r>
          </w:p>
          <w:p w:rsidR="005E3661" w:rsidRPr="003F5E6F" w:rsidRDefault="00D94640" w:rsidP="00D94640">
            <w:pPr>
              <w:numPr>
                <w:ilvl w:val="2"/>
                <w:numId w:val="1"/>
              </w:numPr>
              <w:rPr>
                <w:sz w:val="20"/>
                <w:szCs w:val="20"/>
              </w:rPr>
            </w:pPr>
            <w:r w:rsidRPr="00206C0C">
              <w:rPr>
                <w:sz w:val="20"/>
                <w:szCs w:val="20"/>
              </w:rPr>
              <w:t>De kooi moet minstens 1m diep zijn</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94640" w:rsidP="000106D8">
          <w:pPr>
            <w:jc w:val="center"/>
            <w:rPr>
              <w:sz w:val="16"/>
              <w:szCs w:val="16"/>
              <w:lang w:val="nl-NL"/>
            </w:rPr>
          </w:pPr>
          <w:r>
            <w:rPr>
              <w:sz w:val="16"/>
              <w:szCs w:val="16"/>
            </w:rPr>
            <w:t>15/09/2016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D94640">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D94640">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p3Y7Y0QLt5nfk4wdaxudk2WoAj7toxGfg01KNaa1ntA5FyxPrpCzbsiuEa8inCmZ+1EXgb0CXtKLjThdco7A==" w:salt="bZcaDS//uukFGKL8dBxChg=="/>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94640"/>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AF4C25"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AF4C25"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AF4C25"/>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2018-08-21T11:27:00Z</dcterms:created>
  <dcterms:modified xsi:type="dcterms:W3CDTF">2018-08-21T11:27:00Z</dcterms:modified>
</cp:coreProperties>
</file>