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C952DD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Stortbunker (hopper)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31486">
              <w:rPr>
                <w:sz w:val="20"/>
                <w:szCs w:val="20"/>
              </w:rPr>
              <w:t xml:space="preserve">e meest geschikte brandblusser wordt in het onmiddellijke bereik van </w:t>
            </w:r>
            <w:r>
              <w:rPr>
                <w:sz w:val="20"/>
                <w:szCs w:val="20"/>
              </w:rPr>
              <w:t>het toestel</w:t>
            </w:r>
            <w:r w:rsidRPr="00E31486">
              <w:rPr>
                <w:sz w:val="20"/>
                <w:szCs w:val="20"/>
              </w:rPr>
              <w:t xml:space="preserve"> geplaatst</w:t>
            </w:r>
            <w:r>
              <w:rPr>
                <w:sz w:val="20"/>
                <w:szCs w:val="20"/>
              </w:rPr>
              <w:t>.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laadvermogen en het eigengewicht wordt duidelijk en onuitwisbaar op het toestel aangebracht.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toestel moet voorzien zijn van een met de omgeving contrasterende kleur.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toestel moet voorzien worden van een horizontale reflecterende streep rondom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het toestel verplaatsbaar is, moet het voorzien zijn van een veilige en degelijke voorziening om dit te doen.</w:t>
            </w:r>
          </w:p>
          <w:p w:rsidR="00C952DD" w:rsidRPr="00F6199B" w:rsidRDefault="00C952DD" w:rsidP="00C952DD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Pockets voor verplaatsing met een heftruck en aanslagpunten voor verplaatsing met een kraan of gelijkaardig hulpmiddel, moeten in een duidelijk afstekende kleur geschilderd worden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het toestel stationair opgesteld is, moet het stevig verankerd kunnen worden.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31486">
              <w:rPr>
                <w:sz w:val="20"/>
                <w:szCs w:val="20"/>
              </w:rPr>
              <w:t>De stabiliteit van de installatie moet gewaarborgd zijn in alle omstandigheden, waaronder een aanrijding door voertuigen</w:t>
            </w:r>
            <w:r>
              <w:rPr>
                <w:sz w:val="20"/>
                <w:szCs w:val="20"/>
              </w:rPr>
              <w:t>.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werknemers op het toestel moeten kunnen om werkzaamheden uit te voeren, moeten volgende maatregelen genomen worden:</w:t>
            </w:r>
          </w:p>
          <w:p w:rsidR="00C952DD" w:rsidRDefault="00C952DD" w:rsidP="00C952DD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toestel moet een trap of ladder hebben conform EN ISO 14122.</w:t>
            </w:r>
          </w:p>
          <w:p w:rsidR="00C952DD" w:rsidRDefault="00C952DD" w:rsidP="00C952DD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Bovenaan en/of in de trechter moet een platform voorzien worden, waarop de werknemer kan staan. </w:t>
            </w:r>
          </w:p>
          <w:p w:rsidR="00C952DD" w:rsidRDefault="00C952DD" w:rsidP="00C952DD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Platformen moeten voorzien zijn van leuningen, tussenleuningen en stootplanken, conform EN ISO 14122, en uitgevoerd worden met voldoende antislip.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nodig worden ankerpunten voor valbeveiliging voorzien, deze ankerpunten worden in een duidelijk afstekende kleur geschilderd.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31486">
              <w:rPr>
                <w:sz w:val="20"/>
                <w:szCs w:val="20"/>
              </w:rPr>
              <w:t>Elk bedieningsorgaan (knop, schakelaar, hendel,…) is voorzien van een markering (Nederlandstalige tekst</w:t>
            </w:r>
            <w:r>
              <w:rPr>
                <w:sz w:val="20"/>
                <w:szCs w:val="20"/>
              </w:rPr>
              <w:t xml:space="preserve"> en/of pictogram)</w:t>
            </w:r>
          </w:p>
          <w:p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h</w:t>
            </w:r>
            <w:r w:rsidRPr="00E31486">
              <w:rPr>
                <w:sz w:val="20"/>
                <w:szCs w:val="20"/>
              </w:rPr>
              <w:t>et toestel</w:t>
            </w:r>
            <w:r>
              <w:rPr>
                <w:sz w:val="20"/>
                <w:szCs w:val="20"/>
              </w:rPr>
              <w:t xml:space="preserve"> bewegende onderdelen heeft,</w:t>
            </w:r>
            <w:r w:rsidRPr="00E31486">
              <w:rPr>
                <w:sz w:val="20"/>
                <w:szCs w:val="20"/>
              </w:rPr>
              <w:t xml:space="preserve"> moet</w:t>
            </w:r>
            <w:r>
              <w:rPr>
                <w:sz w:val="20"/>
                <w:szCs w:val="20"/>
              </w:rPr>
              <w:t>en deze</w:t>
            </w:r>
            <w:r w:rsidRPr="00E31486">
              <w:rPr>
                <w:sz w:val="20"/>
                <w:szCs w:val="20"/>
              </w:rPr>
              <w:t xml:space="preserve"> snel, eenvoudig, veilig en op een eenduidige manier kunnen stilgelegd worden</w:t>
            </w:r>
            <w:r>
              <w:rPr>
                <w:sz w:val="20"/>
                <w:szCs w:val="20"/>
              </w:rPr>
              <w:t>.</w:t>
            </w:r>
          </w:p>
          <w:p w:rsidR="005E3661" w:rsidRPr="003F5E6F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31486">
              <w:rPr>
                <w:sz w:val="20"/>
                <w:szCs w:val="20"/>
              </w:rPr>
              <w:lastRenderedPageBreak/>
              <w:t>Alle elektrische aansluitingen moeten afgeschermd zijn tegen bevuiling, corrosie, water en andere vormen van beschadiging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C952DD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27/12/2016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C952DD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C952DD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uttLUlkOffXUPyi6dDH6BSewdUE8scAhoe5K+OT0Gxjgr1mGatLXsjdqAvroHSnNWeE+Xl4rK5cDBMP4ed1ow==" w:salt="+GrWp3CRlEDHgn0KoCLqFA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952DD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7F4356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7F4356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7F4356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2018-08-21T12:09:00Z</dcterms:created>
  <dcterms:modified xsi:type="dcterms:W3CDTF">2018-08-21T12:09:00Z</dcterms:modified>
</cp:coreProperties>
</file>