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F40EE1" w:rsidP="000E017F">
            <w:pPr>
              <w:rPr>
                <w:sz w:val="20"/>
                <w:szCs w:val="20"/>
                <w:lang w:val="en-GB"/>
              </w:rPr>
            </w:pPr>
            <w:r>
              <w:rPr>
                <w:b/>
                <w:i/>
                <w:sz w:val="20"/>
                <w:szCs w:val="20"/>
                <w:lang w:val="en-GB"/>
              </w:rPr>
              <w:t>werkplatform</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F40EE1" w:rsidRDefault="00F40EE1" w:rsidP="00F40EE1">
            <w:pPr>
              <w:numPr>
                <w:ilvl w:val="0"/>
                <w:numId w:val="1"/>
              </w:numPr>
              <w:tabs>
                <w:tab w:val="clear" w:pos="720"/>
              </w:tabs>
              <w:ind w:left="426"/>
              <w:rPr>
                <w:sz w:val="20"/>
                <w:szCs w:val="20"/>
              </w:rPr>
            </w:pPr>
            <w:r>
              <w:rPr>
                <w:sz w:val="20"/>
                <w:szCs w:val="20"/>
              </w:rPr>
              <w:t>Alle toegangswegen (o.a. trappen, ladders, bordessen, poortjes,…) zijn conform NBN EN ISO 14122</w:t>
            </w:r>
          </w:p>
          <w:p w:rsidR="00F40EE1" w:rsidRDefault="00F40EE1" w:rsidP="00F40EE1">
            <w:pPr>
              <w:numPr>
                <w:ilvl w:val="1"/>
                <w:numId w:val="1"/>
              </w:numPr>
              <w:rPr>
                <w:sz w:val="20"/>
                <w:szCs w:val="20"/>
              </w:rPr>
            </w:pPr>
            <w:r w:rsidRPr="00D66C9C">
              <w:rPr>
                <w:sz w:val="20"/>
                <w:szCs w:val="20"/>
              </w:rPr>
              <w:t xml:space="preserve">De toegang </w:t>
            </w:r>
            <w:r>
              <w:rPr>
                <w:sz w:val="20"/>
                <w:szCs w:val="20"/>
              </w:rPr>
              <w:t>tot hoger gelegen delen van</w:t>
            </w:r>
            <w:r w:rsidRPr="00D66C9C">
              <w:rPr>
                <w:sz w:val="20"/>
                <w:szCs w:val="20"/>
              </w:rPr>
              <w:t xml:space="preserve"> het platform be</w:t>
            </w:r>
            <w:r>
              <w:rPr>
                <w:sz w:val="20"/>
                <w:szCs w:val="20"/>
              </w:rPr>
              <w:t>staat bij voorkeur uit een trap</w:t>
            </w:r>
          </w:p>
          <w:p w:rsidR="00F40EE1" w:rsidRDefault="00F40EE1" w:rsidP="00F40EE1">
            <w:pPr>
              <w:numPr>
                <w:ilvl w:val="1"/>
                <w:numId w:val="1"/>
              </w:numPr>
              <w:rPr>
                <w:sz w:val="20"/>
                <w:szCs w:val="20"/>
              </w:rPr>
            </w:pPr>
            <w:r w:rsidRPr="00D66C9C">
              <w:rPr>
                <w:sz w:val="20"/>
                <w:szCs w:val="20"/>
              </w:rPr>
              <w:t>Openingen die nodig zijn voor de werking moeten tot een minimum in aantal en gro</w:t>
            </w:r>
            <w:r>
              <w:rPr>
                <w:sz w:val="20"/>
                <w:szCs w:val="20"/>
              </w:rPr>
              <w:t>ot</w:t>
            </w:r>
            <w:r w:rsidRPr="00D66C9C">
              <w:rPr>
                <w:sz w:val="20"/>
                <w:szCs w:val="20"/>
              </w:rPr>
              <w:t>te beperkt worden. Zij dienen duidelijk gemarkeerd te worden met een geel/zwarte arcering</w:t>
            </w:r>
            <w:r>
              <w:rPr>
                <w:sz w:val="20"/>
                <w:szCs w:val="20"/>
              </w:rPr>
              <w:t xml:space="preserve"> </w:t>
            </w:r>
          </w:p>
          <w:p w:rsidR="00F40EE1" w:rsidRDefault="00F40EE1" w:rsidP="00F40EE1">
            <w:pPr>
              <w:numPr>
                <w:ilvl w:val="1"/>
                <w:numId w:val="1"/>
              </w:numPr>
              <w:rPr>
                <w:sz w:val="20"/>
                <w:szCs w:val="20"/>
              </w:rPr>
            </w:pPr>
            <w:r>
              <w:rPr>
                <w:sz w:val="20"/>
                <w:szCs w:val="20"/>
              </w:rPr>
              <w:t>De vloeren:</w:t>
            </w:r>
          </w:p>
          <w:p w:rsidR="00F40EE1" w:rsidRDefault="00F40EE1" w:rsidP="00F40EE1">
            <w:pPr>
              <w:numPr>
                <w:ilvl w:val="2"/>
                <w:numId w:val="1"/>
              </w:numPr>
              <w:rPr>
                <w:sz w:val="20"/>
                <w:szCs w:val="20"/>
              </w:rPr>
            </w:pPr>
            <w:r>
              <w:rPr>
                <w:sz w:val="20"/>
                <w:szCs w:val="20"/>
              </w:rPr>
              <w:t>Zijn zo vlak mogelijk om struikelen te voorkomen</w:t>
            </w:r>
          </w:p>
          <w:p w:rsidR="00F40EE1" w:rsidRDefault="00F40EE1" w:rsidP="00F40EE1">
            <w:pPr>
              <w:numPr>
                <w:ilvl w:val="2"/>
                <w:numId w:val="1"/>
              </w:numPr>
              <w:rPr>
                <w:sz w:val="20"/>
                <w:szCs w:val="20"/>
              </w:rPr>
            </w:pPr>
            <w:r>
              <w:rPr>
                <w:sz w:val="20"/>
                <w:szCs w:val="20"/>
              </w:rPr>
              <w:t>Zijn zo vastgehecht dat ze niet kunnen verschuiven of omslaan.</w:t>
            </w:r>
          </w:p>
          <w:p w:rsidR="00F40EE1" w:rsidRDefault="00F40EE1" w:rsidP="00F40EE1">
            <w:pPr>
              <w:numPr>
                <w:ilvl w:val="2"/>
                <w:numId w:val="1"/>
              </w:numPr>
              <w:rPr>
                <w:sz w:val="20"/>
                <w:szCs w:val="20"/>
              </w:rPr>
            </w:pPr>
            <w:r>
              <w:rPr>
                <w:sz w:val="20"/>
                <w:szCs w:val="20"/>
              </w:rPr>
              <w:t>Gaten en mazen van roosters zijn voldoende klein zodat zij geen gevaar opleveren van knelling of struikelen.</w:t>
            </w:r>
          </w:p>
          <w:p w:rsidR="00F40EE1" w:rsidRPr="004E0C5C" w:rsidRDefault="00F40EE1" w:rsidP="00F40EE1">
            <w:pPr>
              <w:numPr>
                <w:ilvl w:val="2"/>
                <w:numId w:val="1"/>
              </w:numPr>
              <w:rPr>
                <w:sz w:val="20"/>
                <w:szCs w:val="20"/>
              </w:rPr>
            </w:pPr>
            <w:r w:rsidRPr="00AC660E">
              <w:rPr>
                <w:sz w:val="20"/>
                <w:szCs w:val="20"/>
              </w:rPr>
              <w:t>Alle oppervlakken zijn van voldoende antislip voorzien, aan</w:t>
            </w:r>
            <w:r>
              <w:rPr>
                <w:sz w:val="20"/>
                <w:szCs w:val="20"/>
              </w:rPr>
              <w:t>gepast aan de werkomstandigheden</w:t>
            </w:r>
          </w:p>
          <w:p w:rsidR="00F40EE1" w:rsidRDefault="00F40EE1" w:rsidP="00F40EE1">
            <w:pPr>
              <w:numPr>
                <w:ilvl w:val="0"/>
                <w:numId w:val="1"/>
              </w:numPr>
              <w:tabs>
                <w:tab w:val="clear" w:pos="720"/>
              </w:tabs>
              <w:ind w:left="426"/>
              <w:rPr>
                <w:sz w:val="20"/>
                <w:szCs w:val="20"/>
              </w:rPr>
            </w:pPr>
            <w:r>
              <w:rPr>
                <w:sz w:val="20"/>
                <w:szCs w:val="20"/>
              </w:rPr>
              <w:t>Het hele platform, met in het bijzonder de vloeren, moeten voldoende weerstand bieden om alle lasten en krachten die kunnen optreden, te weerstaan.</w:t>
            </w:r>
          </w:p>
          <w:p w:rsidR="00F40EE1" w:rsidRDefault="00F40EE1" w:rsidP="00F40EE1">
            <w:pPr>
              <w:numPr>
                <w:ilvl w:val="0"/>
                <w:numId w:val="1"/>
              </w:numPr>
              <w:tabs>
                <w:tab w:val="clear" w:pos="720"/>
              </w:tabs>
              <w:ind w:left="426"/>
              <w:rPr>
                <w:sz w:val="20"/>
                <w:szCs w:val="20"/>
              </w:rPr>
            </w:pPr>
            <w:r>
              <w:rPr>
                <w:sz w:val="20"/>
                <w:szCs w:val="20"/>
              </w:rPr>
              <w:t>De stabiliteit van het geheel moet gewaarborgd zijn in alle omstandigheden, waaronder een aanrijding door voertuigen.</w:t>
            </w:r>
          </w:p>
          <w:p w:rsidR="00F40EE1" w:rsidRDefault="00F40EE1" w:rsidP="00F40EE1">
            <w:pPr>
              <w:numPr>
                <w:ilvl w:val="0"/>
                <w:numId w:val="1"/>
              </w:numPr>
              <w:tabs>
                <w:tab w:val="clear" w:pos="720"/>
              </w:tabs>
              <w:ind w:left="426"/>
              <w:rPr>
                <w:sz w:val="20"/>
                <w:szCs w:val="20"/>
              </w:rPr>
            </w:pPr>
            <w:r>
              <w:rPr>
                <w:sz w:val="20"/>
                <w:szCs w:val="20"/>
              </w:rPr>
              <w:t>Mobiele werkplatformen moeten bij opstelling onbeweeglijk gemaakt kunnen worden om verplaatsing door een aanrijding, onder normale omstandigheden, te voorkomen.</w:t>
            </w:r>
          </w:p>
          <w:p w:rsidR="00F40EE1" w:rsidRPr="00FA085B" w:rsidRDefault="00F40EE1" w:rsidP="00F40EE1">
            <w:pPr>
              <w:numPr>
                <w:ilvl w:val="0"/>
                <w:numId w:val="1"/>
              </w:numPr>
              <w:tabs>
                <w:tab w:val="clear" w:pos="720"/>
              </w:tabs>
              <w:ind w:left="426"/>
              <w:rPr>
                <w:sz w:val="20"/>
                <w:szCs w:val="20"/>
              </w:rPr>
            </w:pPr>
            <w:r w:rsidRPr="00FA085B">
              <w:rPr>
                <w:sz w:val="20"/>
                <w:szCs w:val="20"/>
              </w:rPr>
              <w:t>De hoeken van het werkplatform dienen in een opvallende kleur en met voldoende signalisatie uitgerust te zijn.</w:t>
            </w:r>
          </w:p>
          <w:p w:rsidR="00F40EE1" w:rsidRPr="00FA085B" w:rsidRDefault="00F40EE1" w:rsidP="00F40EE1">
            <w:pPr>
              <w:numPr>
                <w:ilvl w:val="0"/>
                <w:numId w:val="1"/>
              </w:numPr>
              <w:tabs>
                <w:tab w:val="clear" w:pos="720"/>
              </w:tabs>
              <w:ind w:left="426"/>
              <w:rPr>
                <w:sz w:val="20"/>
                <w:szCs w:val="20"/>
              </w:rPr>
            </w:pPr>
            <w:r w:rsidRPr="00FA085B">
              <w:rPr>
                <w:sz w:val="20"/>
                <w:szCs w:val="20"/>
              </w:rPr>
              <w:t>Elk bedieningsorgaan (knop, schakelaar, hendel,…) is voorzien van een markering (Nederlandstalige tekst en/of pictogram) die zijn functie weergeeft.</w:t>
            </w:r>
          </w:p>
          <w:p w:rsidR="00F40EE1" w:rsidRPr="00FA085B" w:rsidRDefault="00F40EE1" w:rsidP="00F40EE1">
            <w:pPr>
              <w:numPr>
                <w:ilvl w:val="0"/>
                <w:numId w:val="1"/>
              </w:numPr>
              <w:tabs>
                <w:tab w:val="clear" w:pos="720"/>
              </w:tabs>
              <w:ind w:left="426"/>
              <w:rPr>
                <w:sz w:val="20"/>
                <w:szCs w:val="20"/>
              </w:rPr>
            </w:pPr>
            <w:r w:rsidRPr="00FA085B">
              <w:rPr>
                <w:sz w:val="20"/>
                <w:szCs w:val="20"/>
              </w:rPr>
              <w:lastRenderedPageBreak/>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5E3661" w:rsidRPr="003F5E6F" w:rsidRDefault="00F40EE1" w:rsidP="00F40EE1">
            <w:pPr>
              <w:numPr>
                <w:ilvl w:val="0"/>
                <w:numId w:val="1"/>
              </w:numPr>
              <w:tabs>
                <w:tab w:val="clear" w:pos="720"/>
              </w:tabs>
              <w:ind w:left="426"/>
              <w:rPr>
                <w:sz w:val="20"/>
                <w:szCs w:val="20"/>
              </w:rPr>
            </w:pPr>
            <w:r>
              <w:rPr>
                <w:sz w:val="20"/>
                <w:szCs w:val="20"/>
              </w:rPr>
              <w:t>M</w:t>
            </w:r>
            <w:r w:rsidRPr="00FA085B">
              <w:rPr>
                <w:sz w:val="20"/>
                <w:szCs w:val="20"/>
              </w:rPr>
              <w:t>aximale belasting, maximum aantal personen en eigengewicht worden duidelijk en onuitwisbaar op het toestel aangeduid.</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F40EE1" w:rsidP="000106D8">
          <w:pPr>
            <w:jc w:val="center"/>
            <w:rPr>
              <w:sz w:val="16"/>
              <w:szCs w:val="16"/>
              <w:lang w:val="nl-NL"/>
            </w:rPr>
          </w:pPr>
          <w:r>
            <w:rPr>
              <w:sz w:val="16"/>
              <w:szCs w:val="16"/>
            </w:rPr>
            <w:t>08/08/2016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F40EE1">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F40EE1">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YxAr1HYlmgflrIqqXOyB2jimlJgX8uJ18hrYXLZavXi1Scw72PpUD1kVwPJfdh2ADTu7+n+o/r+iNyUk1WpQ==" w:salt="9dVFYLSXM8X+w+HDfTnadQ=="/>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40EE1"/>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F90169"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F90169"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 w:val="00CD268F"/>
    <w:rsid w:val="00F901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2018-08-21T12:12:00Z</dcterms:created>
  <dcterms:modified xsi:type="dcterms:W3CDTF">2018-08-21T12:12:00Z</dcterms:modified>
</cp:coreProperties>
</file>